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0E5" w:rsidRDefault="00000000" w:rsidP="40CAFB3C">
      <w:pPr>
        <w:pStyle w:val="BodyText"/>
        <w:jc w:val="center"/>
        <w:rPr>
          <w:rFonts w:eastAsia="Arial" w:cs="Arial"/>
          <w:sz w:val="22"/>
          <w:szCs w:val="22"/>
        </w:rPr>
      </w:pPr>
      <w:r>
        <w:rPr>
          <w:rFonts w:ascii="Times New Roman" w:eastAsia="Times New Roman" w:hAnsi="Times New Roman" w:cs="Times New Roman"/>
          <w:noProof/>
          <w:sz w:val="20"/>
          <w:szCs w:val="20"/>
        </w:rPr>
        <w:drawing>
          <wp:inline distT="0" distB="0" distL="0" distR="0" wp14:anchorId="624FEDF5" wp14:editId="07777777">
            <wp:extent cx="2051050" cy="546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051050" cy="546100"/>
                    </a:xfrm>
                    <a:prstGeom prst="rect">
                      <a:avLst/>
                    </a:prstGeom>
                    <a:ln w="12700" cap="flat">
                      <a:noFill/>
                      <a:miter lim="400000"/>
                    </a:ln>
                    <a:effectLst/>
                  </pic:spPr>
                </pic:pic>
              </a:graphicData>
            </a:graphic>
          </wp:inline>
        </w:drawing>
      </w:r>
    </w:p>
    <w:p w14:paraId="0A37501D" w14:textId="77777777" w:rsidR="00D760E5" w:rsidRDefault="00D760E5" w:rsidP="40CAFB3C">
      <w:pPr>
        <w:pStyle w:val="BodyText"/>
        <w:rPr>
          <w:rFonts w:eastAsia="Arial" w:cs="Arial"/>
          <w:sz w:val="22"/>
          <w:szCs w:val="22"/>
        </w:rPr>
      </w:pPr>
    </w:p>
    <w:p w14:paraId="0A7193ED" w14:textId="77777777" w:rsidR="00D760E5" w:rsidRDefault="40CAFB3C" w:rsidP="40CAFB3C">
      <w:pPr>
        <w:pStyle w:val="BodyText"/>
        <w:spacing w:before="93"/>
        <w:ind w:right="20"/>
        <w:jc w:val="center"/>
        <w:rPr>
          <w:rFonts w:eastAsia="Arial" w:cs="Arial"/>
          <w:b/>
          <w:bCs/>
          <w:sz w:val="22"/>
          <w:szCs w:val="22"/>
        </w:rPr>
      </w:pPr>
      <w:r w:rsidRPr="40CAFB3C">
        <w:rPr>
          <w:rFonts w:eastAsia="Arial" w:cs="Arial"/>
          <w:b/>
          <w:bCs/>
          <w:sz w:val="22"/>
          <w:szCs w:val="22"/>
        </w:rPr>
        <w:t>2022 - 2023</w:t>
      </w:r>
    </w:p>
    <w:p w14:paraId="67AB9B6A" w14:textId="77777777" w:rsidR="00D760E5" w:rsidRDefault="40CAFB3C" w:rsidP="40CAFB3C">
      <w:pPr>
        <w:pStyle w:val="BodyText"/>
        <w:spacing w:after="120"/>
        <w:ind w:right="20"/>
        <w:jc w:val="center"/>
        <w:rPr>
          <w:rFonts w:eastAsia="Arial" w:cs="Arial"/>
          <w:b/>
          <w:bCs/>
          <w:sz w:val="22"/>
          <w:szCs w:val="22"/>
        </w:rPr>
      </w:pPr>
      <w:r w:rsidRPr="40CAFB3C">
        <w:rPr>
          <w:rFonts w:eastAsia="Arial" w:cs="Arial"/>
          <w:b/>
          <w:bCs/>
          <w:sz w:val="22"/>
          <w:szCs w:val="22"/>
        </w:rPr>
        <w:t>TENURE LINE FACULTY PROMOTION</w:t>
      </w:r>
      <w:r w:rsidRPr="40CAFB3C">
        <w:rPr>
          <w:rFonts w:eastAsia="Arial" w:cs="Arial"/>
          <w:b/>
          <w:bCs/>
          <w:spacing w:val="-1"/>
          <w:sz w:val="22"/>
          <w:szCs w:val="22"/>
        </w:rPr>
        <w:t xml:space="preserve"> </w:t>
      </w:r>
      <w:r w:rsidRPr="40CAFB3C">
        <w:rPr>
          <w:rFonts w:eastAsia="Arial" w:cs="Arial"/>
          <w:b/>
          <w:bCs/>
          <w:sz w:val="22"/>
          <w:szCs w:val="22"/>
        </w:rPr>
        <w:t>AND TENURE GUIDELINES</w:t>
      </w:r>
    </w:p>
    <w:p w14:paraId="5DAB6C7B" w14:textId="77777777" w:rsidR="00D760E5" w:rsidRDefault="00D760E5" w:rsidP="40CAFB3C">
      <w:pPr>
        <w:pStyle w:val="BodyText"/>
        <w:spacing w:after="120"/>
        <w:rPr>
          <w:rFonts w:eastAsia="Arial" w:cs="Arial"/>
          <w:b/>
          <w:bCs/>
          <w:sz w:val="22"/>
          <w:szCs w:val="22"/>
        </w:rPr>
      </w:pPr>
    </w:p>
    <w:p w14:paraId="2C8B4F07" w14:textId="77777777" w:rsidR="00D760E5" w:rsidRDefault="40CAFB3C">
      <w:pPr>
        <w:pStyle w:val="ListParagraph"/>
        <w:numPr>
          <w:ilvl w:val="0"/>
          <w:numId w:val="15"/>
        </w:numPr>
        <w:jc w:val="left"/>
        <w:rPr>
          <w:rFonts w:eastAsia="Arial" w:cs="Arial"/>
          <w:b/>
          <w:bCs/>
        </w:rPr>
      </w:pPr>
      <w:r w:rsidRPr="40CAFB3C">
        <w:rPr>
          <w:rFonts w:eastAsia="Arial" w:cs="Arial"/>
          <w:b/>
          <w:bCs/>
        </w:rPr>
        <w:t>INTRODUCTION</w:t>
      </w:r>
    </w:p>
    <w:p w14:paraId="74F795F1" w14:textId="77777777" w:rsidR="00D760E5" w:rsidRDefault="40CAFB3C">
      <w:pPr>
        <w:pStyle w:val="ListParagraph"/>
        <w:numPr>
          <w:ilvl w:val="1"/>
          <w:numId w:val="15"/>
        </w:numPr>
        <w:jc w:val="left"/>
        <w:rPr>
          <w:rFonts w:eastAsia="Arial" w:cs="Arial"/>
        </w:rPr>
      </w:pPr>
      <w:r w:rsidRPr="40CAFB3C">
        <w:rPr>
          <w:rFonts w:eastAsia="Arial" w:cs="Arial"/>
        </w:rPr>
        <w:t>General</w:t>
      </w:r>
    </w:p>
    <w:p w14:paraId="1E1BC7BC" w14:textId="77777777" w:rsidR="00D760E5" w:rsidRDefault="40CAFB3C">
      <w:pPr>
        <w:pStyle w:val="ListParagraph"/>
        <w:numPr>
          <w:ilvl w:val="0"/>
          <w:numId w:val="13"/>
        </w:numPr>
        <w:rPr>
          <w:rFonts w:eastAsia="Arial" w:cs="Arial"/>
        </w:rPr>
      </w:pPr>
      <w:r w:rsidRPr="40CAFB3C">
        <w:rPr>
          <w:rFonts w:eastAsia="Arial" w:cs="Arial"/>
        </w:rPr>
        <w:t xml:space="preserve">“The promotion and tenure policies of the University should contribute to academic excellence. An equitable and widely-understood promotion and tenure system ensures that considerations of academic quality will be the basis for academic personnel decisions.” </w:t>
      </w:r>
      <w:r w:rsidRPr="40CAFB3C">
        <w:rPr>
          <w:rFonts w:eastAsia="Arial" w:cs="Arial"/>
          <w:i/>
          <w:iCs/>
        </w:rPr>
        <w:t>(</w:t>
      </w:r>
      <w:hyperlink r:id="rId8" w:history="1">
        <w:r>
          <w:rPr>
            <w:rStyle w:val="Hyperlink0"/>
          </w:rPr>
          <w:t>University policy AC23</w:t>
        </w:r>
        <w:r w:rsidRPr="40CAFB3C">
          <w:rPr>
            <w:i/>
            <w:iCs/>
            <w:color w:val="055FC1"/>
            <w:u w:val="single" w:color="055FC1"/>
          </w:rPr>
          <w:t>,</w:t>
        </w:r>
      </w:hyperlink>
      <w:r w:rsidRPr="40CAFB3C">
        <w:rPr>
          <w:rFonts w:eastAsia="Arial" w:cs="Arial"/>
          <w:i/>
          <w:iCs/>
          <w:color w:val="055FC1"/>
        </w:rPr>
        <w:t xml:space="preserve"> </w:t>
      </w:r>
      <w:hyperlink r:id="rId9" w:history="1">
        <w:r>
          <w:rPr>
            <w:rStyle w:val="Hyperlink1"/>
          </w:rPr>
          <w:t>Promotion and</w:t>
        </w:r>
      </w:hyperlink>
      <w:r w:rsidRPr="40CAFB3C">
        <w:rPr>
          <w:rStyle w:val="None"/>
          <w:rFonts w:eastAsia="Arial" w:cs="Arial"/>
          <w:i/>
          <w:iCs/>
          <w:color w:val="055FC1"/>
        </w:rPr>
        <w:t xml:space="preserve"> </w:t>
      </w:r>
      <w:hyperlink r:id="rId10" w:history="1">
        <w:r>
          <w:rPr>
            <w:rStyle w:val="Hyperlink1"/>
          </w:rPr>
          <w:t>Tenure Procedures and Regulations.</w:t>
        </w:r>
      </w:hyperlink>
      <w:r w:rsidRPr="40CAFB3C">
        <w:rPr>
          <w:rStyle w:val="None"/>
          <w:rFonts w:eastAsia="Arial" w:cs="Arial"/>
          <w:i/>
          <w:iCs/>
        </w:rPr>
        <w:t xml:space="preserve">) </w:t>
      </w:r>
      <w:r w:rsidRPr="40CAFB3C">
        <w:rPr>
          <w:rStyle w:val="None"/>
          <w:rFonts w:eastAsia="Arial" w:cs="Arial"/>
        </w:rPr>
        <w:t>A goal of any university and its academic substructures is to attract to the faculty capable and highly qualified individuals whose expertise in the pursuit of their scholarly and research aspirations will assure such excellence, and to retain those whose scholarly and professional contributions merit</w:t>
      </w:r>
      <w:r w:rsidRPr="40CAFB3C">
        <w:rPr>
          <w:rStyle w:val="None"/>
          <w:rFonts w:eastAsia="Arial" w:cs="Arial"/>
          <w:spacing w:val="-1"/>
        </w:rPr>
        <w:t xml:space="preserve"> </w:t>
      </w:r>
      <w:r w:rsidRPr="40CAFB3C">
        <w:rPr>
          <w:rStyle w:val="None"/>
          <w:rFonts w:eastAsia="Arial" w:cs="Arial"/>
        </w:rPr>
        <w:t>promotion and tenure. If such a system is to work, viable and strong tenure and promotion policies must be established fairly and effectively in accomplishing these goals.</w:t>
      </w:r>
    </w:p>
    <w:p w14:paraId="3D0C73CE" w14:textId="2B034E75" w:rsidR="40CAFB3C" w:rsidRDefault="40CAFB3C" w:rsidP="40CAFB3C">
      <w:pPr>
        <w:pStyle w:val="ListParagraph"/>
        <w:rPr>
          <w:rFonts w:eastAsia="Arial" w:cs="Arial"/>
        </w:rPr>
      </w:pPr>
    </w:p>
    <w:p w14:paraId="2BA226D8" w14:textId="77777777" w:rsidR="00D760E5" w:rsidRDefault="40CAFB3C">
      <w:pPr>
        <w:pStyle w:val="ListParagraph"/>
        <w:numPr>
          <w:ilvl w:val="0"/>
          <w:numId w:val="13"/>
        </w:numPr>
        <w:rPr>
          <w:rFonts w:eastAsia="Arial" w:cs="Arial"/>
        </w:rPr>
      </w:pPr>
      <w:r w:rsidRPr="40CAFB3C">
        <w:rPr>
          <w:rStyle w:val="None"/>
          <w:rFonts w:eastAsia="Arial" w:cs="Arial"/>
        </w:rPr>
        <w:t xml:space="preserve">These policies and procedures are intended to localize University Policy AC23, Promotion and Tenure Procedures and Regulations and the concomitant Guidelines for AC23: Promotion and Tenure Procedures and Regulations. The latest versions of this University Policy and Administrative Guidelines can be found on the </w:t>
      </w:r>
      <w:hyperlink r:id="rId11" w:history="1">
        <w:r>
          <w:rPr>
            <w:rStyle w:val="Hyperlink2"/>
          </w:rPr>
          <w:t>VPFA Promotion and Tenure webpage</w:t>
        </w:r>
      </w:hyperlink>
      <w:r w:rsidRPr="40CAFB3C">
        <w:rPr>
          <w:rStyle w:val="None"/>
          <w:rFonts w:eastAsia="Arial" w:cs="Arial"/>
        </w:rPr>
        <w:t>. These policies and procedures make University Policy applicable in light of the mission of the College of Health and Human Development and its academic units; they in no way alter or supersede applicable University policy.</w:t>
      </w:r>
    </w:p>
    <w:p w14:paraId="7D50FADB" w14:textId="35E94B2C" w:rsidR="40CAFB3C" w:rsidRDefault="40CAFB3C" w:rsidP="40CAFB3C">
      <w:pPr>
        <w:pStyle w:val="ListParagraph"/>
        <w:rPr>
          <w:rFonts w:eastAsia="Arial" w:cs="Arial"/>
        </w:rPr>
      </w:pPr>
    </w:p>
    <w:p w14:paraId="2530111F" w14:textId="77777777" w:rsidR="00D760E5" w:rsidRDefault="40CAFB3C">
      <w:pPr>
        <w:pStyle w:val="ListParagraph"/>
        <w:numPr>
          <w:ilvl w:val="0"/>
          <w:numId w:val="13"/>
        </w:numPr>
        <w:rPr>
          <w:rFonts w:eastAsia="Arial" w:cs="Arial"/>
        </w:rPr>
      </w:pPr>
      <w:r w:rsidRPr="40CAFB3C">
        <w:rPr>
          <w:rStyle w:val="None"/>
          <w:rFonts w:eastAsia="Arial" w:cs="Arial"/>
        </w:rPr>
        <w:t>Timing of review for pre-</w:t>
      </w:r>
      <w:proofErr w:type="spellStart"/>
      <w:r w:rsidRPr="40CAFB3C">
        <w:rPr>
          <w:rStyle w:val="None"/>
          <w:rFonts w:eastAsia="Arial" w:cs="Arial"/>
        </w:rPr>
        <w:t>tenure</w:t>
      </w:r>
      <w:proofErr w:type="spellEnd"/>
      <w:r w:rsidRPr="40CAFB3C">
        <w:rPr>
          <w:rStyle w:val="None"/>
          <w:rFonts w:eastAsia="Arial" w:cs="Arial"/>
        </w:rPr>
        <w:t xml:space="preserve"> faculty in the College of Health and Human Development </w:t>
      </w:r>
      <w:r w:rsidRPr="40CAFB3C">
        <w:rPr>
          <w:rStyle w:val="None"/>
          <w:rFonts w:eastAsia="Arial" w:cs="Arial"/>
          <w:u w:val="single"/>
        </w:rPr>
        <w:t xml:space="preserve">must </w:t>
      </w:r>
      <w:r w:rsidRPr="40CAFB3C">
        <w:rPr>
          <w:rStyle w:val="None"/>
          <w:rFonts w:eastAsia="Arial" w:cs="Arial"/>
        </w:rPr>
        <w:t>strictly follow University policy and guidelines.</w:t>
      </w:r>
    </w:p>
    <w:p w14:paraId="2324C0D1" w14:textId="3F22FBE1" w:rsidR="40CAFB3C" w:rsidRDefault="40CAFB3C" w:rsidP="40CAFB3C">
      <w:pPr>
        <w:pStyle w:val="ListParagraph"/>
        <w:rPr>
          <w:rFonts w:eastAsia="Arial" w:cs="Arial"/>
        </w:rPr>
      </w:pPr>
    </w:p>
    <w:p w14:paraId="38675D62" w14:textId="77777777" w:rsidR="00D760E5" w:rsidRPr="006065C3" w:rsidRDefault="40CAFB3C">
      <w:pPr>
        <w:pStyle w:val="ListParagraph"/>
        <w:numPr>
          <w:ilvl w:val="0"/>
          <w:numId w:val="13"/>
        </w:numPr>
        <w:rPr>
          <w:rStyle w:val="None"/>
        </w:rPr>
      </w:pPr>
      <w:r w:rsidRPr="006065C3">
        <w:rPr>
          <w:rStyle w:val="None"/>
        </w:rPr>
        <w:t>The responsibility for putting faculty forward for post-tenure promotion review lies with the Unit Head.</w:t>
      </w:r>
    </w:p>
    <w:p w14:paraId="20CF470E" w14:textId="4B7A1156" w:rsidR="40CAFB3C" w:rsidRPr="006065C3" w:rsidRDefault="40CAFB3C" w:rsidP="40CAFB3C">
      <w:pPr>
        <w:pStyle w:val="ListParagraph"/>
        <w:rPr>
          <w:rStyle w:val="None"/>
        </w:rPr>
      </w:pPr>
    </w:p>
    <w:p w14:paraId="4A45D87E" w14:textId="77777777" w:rsidR="00D760E5" w:rsidRPr="006065C3" w:rsidRDefault="40CAFB3C">
      <w:pPr>
        <w:pStyle w:val="ListParagraph"/>
        <w:numPr>
          <w:ilvl w:val="0"/>
          <w:numId w:val="13"/>
        </w:numPr>
        <w:rPr>
          <w:rStyle w:val="None"/>
        </w:rPr>
      </w:pPr>
      <w:r w:rsidRPr="006065C3">
        <w:rPr>
          <w:rStyle w:val="None"/>
        </w:rPr>
        <w:t>The Unit Head can put a faculty member forward for post-tenure promotion review in any year they feel a faculty member is ready for such review.</w:t>
      </w:r>
    </w:p>
    <w:p w14:paraId="0F70E3C3" w14:textId="7F15D125" w:rsidR="40CAFB3C" w:rsidRPr="006065C3" w:rsidRDefault="40CAFB3C" w:rsidP="40CAFB3C">
      <w:pPr>
        <w:pStyle w:val="ListParagraph"/>
        <w:rPr>
          <w:rStyle w:val="None"/>
        </w:rPr>
      </w:pPr>
    </w:p>
    <w:p w14:paraId="4CEEC087" w14:textId="77777777" w:rsidR="00D760E5" w:rsidRPr="006065C3" w:rsidRDefault="40CAFB3C">
      <w:pPr>
        <w:pStyle w:val="ListParagraph"/>
        <w:numPr>
          <w:ilvl w:val="0"/>
          <w:numId w:val="13"/>
        </w:numPr>
        <w:rPr>
          <w:rStyle w:val="None"/>
        </w:rPr>
      </w:pPr>
      <w:r w:rsidRPr="006065C3">
        <w:rPr>
          <w:rStyle w:val="None"/>
        </w:rPr>
        <w:t>Understanding the expectations needed for promotion from associate to full professor and developing a trajectory toward promotion should be topics of regular informal discussion between faculty members and Unit Heads. Readiness for promotion review can be raised as a topic when either party feels the time is appropriate.</w:t>
      </w:r>
    </w:p>
    <w:p w14:paraId="5970D389" w14:textId="0D40087B" w:rsidR="40CAFB3C" w:rsidRPr="006065C3" w:rsidRDefault="40CAFB3C" w:rsidP="40CAFB3C">
      <w:pPr>
        <w:pStyle w:val="ListParagraph"/>
        <w:rPr>
          <w:rStyle w:val="None"/>
        </w:rPr>
      </w:pPr>
    </w:p>
    <w:p w14:paraId="0441A053" w14:textId="77777777" w:rsidR="00D760E5" w:rsidRPr="006065C3" w:rsidRDefault="40CAFB3C">
      <w:pPr>
        <w:pStyle w:val="ListParagraph"/>
        <w:numPr>
          <w:ilvl w:val="0"/>
          <w:numId w:val="13"/>
        </w:numPr>
        <w:rPr>
          <w:rStyle w:val="None"/>
        </w:rPr>
      </w:pPr>
      <w:r w:rsidRPr="006065C3">
        <w:rPr>
          <w:rStyle w:val="None"/>
        </w:rPr>
        <w:lastRenderedPageBreak/>
        <w:t>For tenured associate professors, the extended five-year post-tenure review as described in AC40 will also include a thorough assessment of readiness for promotion review. As part of this assessment the Unit Head may:</w:t>
      </w:r>
    </w:p>
    <w:p w14:paraId="032F75A5" w14:textId="77777777" w:rsidR="00D760E5" w:rsidRPr="006065C3" w:rsidRDefault="40CAFB3C">
      <w:pPr>
        <w:pStyle w:val="ListParagraph"/>
        <w:numPr>
          <w:ilvl w:val="0"/>
          <w:numId w:val="12"/>
        </w:numPr>
        <w:rPr>
          <w:rStyle w:val="None"/>
        </w:rPr>
      </w:pPr>
      <w:r w:rsidRPr="006065C3">
        <w:rPr>
          <w:rStyle w:val="None"/>
        </w:rPr>
        <w:t>Request supporting documentation (consistent with materials that would become part of the dossier) from the faculty member and</w:t>
      </w:r>
    </w:p>
    <w:p w14:paraId="3A4FBDCD" w14:textId="77777777" w:rsidR="00D760E5" w:rsidRPr="006065C3" w:rsidRDefault="40CAFB3C">
      <w:pPr>
        <w:pStyle w:val="ListParagraph"/>
        <w:numPr>
          <w:ilvl w:val="0"/>
          <w:numId w:val="12"/>
        </w:numPr>
        <w:rPr>
          <w:rStyle w:val="None"/>
        </w:rPr>
      </w:pPr>
      <w:r w:rsidRPr="006065C3">
        <w:rPr>
          <w:rStyle w:val="None"/>
        </w:rPr>
        <w:t>Confidentially, informally, and formatively consult with Deans, Chairs of P&amp;T Committees, and members of P&amp;T Committees.</w:t>
      </w:r>
    </w:p>
    <w:p w14:paraId="586ED8D9" w14:textId="77777777" w:rsidR="00D760E5" w:rsidRPr="006065C3" w:rsidRDefault="40CAFB3C">
      <w:pPr>
        <w:pStyle w:val="ListParagraph"/>
        <w:numPr>
          <w:ilvl w:val="0"/>
          <w:numId w:val="13"/>
        </w:numPr>
        <w:rPr>
          <w:rStyle w:val="None"/>
        </w:rPr>
      </w:pPr>
      <w:r w:rsidRPr="006065C3">
        <w:rPr>
          <w:rStyle w:val="None"/>
        </w:rPr>
        <w:t>The Department Head will communicate their recommendation on readiness for promotion review to an associate professor after the five-year post tenure review.</w:t>
      </w:r>
    </w:p>
    <w:p w14:paraId="60A85279" w14:textId="77777777" w:rsidR="00D760E5" w:rsidRPr="006065C3" w:rsidRDefault="40CAFB3C">
      <w:pPr>
        <w:pStyle w:val="ListParagraph"/>
        <w:numPr>
          <w:ilvl w:val="0"/>
          <w:numId w:val="11"/>
        </w:numPr>
        <w:rPr>
          <w:rStyle w:val="None"/>
        </w:rPr>
      </w:pPr>
      <w:r w:rsidRPr="006065C3">
        <w:rPr>
          <w:rStyle w:val="None"/>
        </w:rPr>
        <w:t>If the Unit Head recommends that the faculty member move forward for review, and the faculty member concurs, the review will proceed.</w:t>
      </w:r>
    </w:p>
    <w:p w14:paraId="2EE7324F" w14:textId="77777777" w:rsidR="00D760E5" w:rsidRPr="006065C3" w:rsidRDefault="40CAFB3C">
      <w:pPr>
        <w:pStyle w:val="ListParagraph"/>
        <w:numPr>
          <w:ilvl w:val="0"/>
          <w:numId w:val="11"/>
        </w:numPr>
        <w:rPr>
          <w:rStyle w:val="None"/>
        </w:rPr>
      </w:pPr>
      <w:r w:rsidRPr="006065C3">
        <w:rPr>
          <w:rStyle w:val="None"/>
        </w:rPr>
        <w:t>If the Unit Head recommends that the faculty member not move forward for review, the communication from the Unit Head to the faculty member will cover strategies for building toward promotion review readiness.</w:t>
      </w:r>
    </w:p>
    <w:p w14:paraId="286F430F" w14:textId="77777777" w:rsidR="00D760E5" w:rsidRPr="006065C3" w:rsidRDefault="40CAFB3C">
      <w:pPr>
        <w:pStyle w:val="ListParagraph"/>
        <w:numPr>
          <w:ilvl w:val="0"/>
          <w:numId w:val="11"/>
        </w:numPr>
        <w:rPr>
          <w:rStyle w:val="None"/>
        </w:rPr>
      </w:pPr>
      <w:r w:rsidRPr="006065C3">
        <w:rPr>
          <w:rStyle w:val="None"/>
        </w:rPr>
        <w:t>In addition, if the recommendation is that the faculty member not move forward for review, the faculty member can request that the Unit Head put them forward regardless, and the Unit Head must honor that request.</w:t>
      </w:r>
    </w:p>
    <w:p w14:paraId="68673FD3" w14:textId="77777777" w:rsidR="00D760E5" w:rsidRPr="006065C3" w:rsidRDefault="40CAFB3C">
      <w:pPr>
        <w:pStyle w:val="ListParagraph"/>
        <w:numPr>
          <w:ilvl w:val="0"/>
          <w:numId w:val="13"/>
        </w:numPr>
        <w:rPr>
          <w:rStyle w:val="None"/>
        </w:rPr>
      </w:pPr>
      <w:r w:rsidRPr="006065C3">
        <w:rPr>
          <w:rStyle w:val="None"/>
        </w:rPr>
        <w:t>In years other than the five-year post tenure review year, requests from an associate professor to move forward with promotion review do not need to be honored. However, as stated in #5 above, a Unit Head can still elect to put any faculty member forward for review in any year – they do not need to wait until after the subsequent five-year post-tenure review to do so.</w:t>
      </w:r>
    </w:p>
    <w:p w14:paraId="60E7640F" w14:textId="77777777" w:rsidR="00D760E5" w:rsidRPr="006065C3" w:rsidRDefault="40CAFB3C">
      <w:pPr>
        <w:pStyle w:val="ListParagraph"/>
        <w:numPr>
          <w:ilvl w:val="0"/>
          <w:numId w:val="13"/>
        </w:numPr>
        <w:rPr>
          <w:rStyle w:val="None"/>
        </w:rPr>
      </w:pPr>
      <w:r w:rsidRPr="006065C3">
        <w:rPr>
          <w:rStyle w:val="None"/>
        </w:rPr>
        <w:t>For promotion to full reviews, when the department peer review committee does not recommend promotion and the department head agrees, after consulting with the dean, the head should at that point discuss with the candidate the advisability of withdrawing the dossier.</w:t>
      </w:r>
    </w:p>
    <w:p w14:paraId="02EB378F" w14:textId="77777777" w:rsidR="00D760E5" w:rsidRDefault="00D760E5" w:rsidP="40CAFB3C">
      <w:pPr>
        <w:pStyle w:val="BodyText"/>
        <w:spacing w:after="120"/>
        <w:rPr>
          <w:rStyle w:val="None"/>
          <w:rFonts w:eastAsia="Arial" w:cs="Arial"/>
          <w:sz w:val="22"/>
          <w:szCs w:val="22"/>
        </w:rPr>
      </w:pPr>
    </w:p>
    <w:p w14:paraId="3525D2F1" w14:textId="77777777" w:rsidR="00D760E5" w:rsidRDefault="40CAFB3C" w:rsidP="40CAFB3C">
      <w:pPr>
        <w:pStyle w:val="BodyText"/>
        <w:tabs>
          <w:tab w:val="left" w:pos="555"/>
        </w:tabs>
        <w:spacing w:after="120"/>
        <w:ind w:left="195" w:hanging="195"/>
        <w:rPr>
          <w:rStyle w:val="None"/>
          <w:rFonts w:eastAsia="Arial" w:cs="Arial"/>
          <w:b/>
          <w:bCs/>
          <w:spacing w:val="-1"/>
          <w:sz w:val="22"/>
          <w:szCs w:val="22"/>
        </w:rPr>
      </w:pPr>
      <w:r w:rsidRPr="40CAFB3C">
        <w:rPr>
          <w:rStyle w:val="None"/>
          <w:rFonts w:eastAsia="Arial" w:cs="Arial"/>
          <w:b/>
          <w:bCs/>
          <w:spacing w:val="-5"/>
          <w:sz w:val="22"/>
          <w:szCs w:val="22"/>
        </w:rPr>
        <w:t>II.</w:t>
      </w:r>
      <w:r w:rsidR="00000000">
        <w:rPr>
          <w:rStyle w:val="None"/>
          <w:b/>
          <w:bCs/>
          <w:sz w:val="22"/>
          <w:szCs w:val="22"/>
        </w:rPr>
        <w:tab/>
      </w:r>
      <w:r w:rsidRPr="40CAFB3C">
        <w:rPr>
          <w:rStyle w:val="None"/>
          <w:rFonts w:eastAsia="Arial" w:cs="Arial"/>
          <w:b/>
          <w:bCs/>
          <w:sz w:val="22"/>
          <w:szCs w:val="22"/>
        </w:rPr>
        <w:t>REVIEW</w:t>
      </w:r>
      <w:r w:rsidRPr="40CAFB3C">
        <w:rPr>
          <w:rStyle w:val="None"/>
          <w:rFonts w:eastAsia="Arial" w:cs="Arial"/>
          <w:b/>
          <w:bCs/>
          <w:spacing w:val="-3"/>
          <w:sz w:val="22"/>
          <w:szCs w:val="22"/>
        </w:rPr>
        <w:t xml:space="preserve"> </w:t>
      </w:r>
      <w:r w:rsidRPr="40CAFB3C">
        <w:rPr>
          <w:rStyle w:val="None"/>
          <w:rFonts w:eastAsia="Arial" w:cs="Arial"/>
          <w:b/>
          <w:bCs/>
          <w:spacing w:val="-1"/>
          <w:sz w:val="22"/>
          <w:szCs w:val="22"/>
        </w:rPr>
        <w:t>PROCEDURES</w:t>
      </w:r>
    </w:p>
    <w:p w14:paraId="4CB830D1" w14:textId="77777777" w:rsidR="00D760E5" w:rsidRDefault="40CAFB3C">
      <w:pPr>
        <w:pStyle w:val="ListParagraph"/>
        <w:numPr>
          <w:ilvl w:val="0"/>
          <w:numId w:val="19"/>
        </w:numPr>
        <w:jc w:val="left"/>
        <w:rPr>
          <w:rFonts w:eastAsia="Arial" w:cs="Arial"/>
        </w:rPr>
      </w:pPr>
      <w:r w:rsidRPr="40CAFB3C">
        <w:rPr>
          <w:rStyle w:val="None"/>
          <w:rFonts w:eastAsia="Arial" w:cs="Arial"/>
        </w:rPr>
        <w:t>General</w:t>
      </w:r>
    </w:p>
    <w:p w14:paraId="7EBEA2A2" w14:textId="77777777" w:rsidR="00D760E5" w:rsidRDefault="40CAFB3C" w:rsidP="40CAFB3C">
      <w:pPr>
        <w:pStyle w:val="BodyText"/>
        <w:spacing w:after="120"/>
        <w:ind w:left="913" w:right="30" w:firstLine="2"/>
        <w:jc w:val="both"/>
        <w:rPr>
          <w:rStyle w:val="None"/>
          <w:rFonts w:eastAsia="Arial" w:cs="Arial"/>
          <w:sz w:val="22"/>
          <w:szCs w:val="22"/>
        </w:rPr>
      </w:pPr>
      <w:r w:rsidRPr="40CAFB3C">
        <w:rPr>
          <w:rStyle w:val="None"/>
          <w:rFonts w:eastAsia="Arial" w:cs="Arial"/>
          <w:sz w:val="22"/>
          <w:szCs w:val="22"/>
        </w:rPr>
        <w:t>The faculty bears primary and major responsibility for the evaluation of the academic qualification of candidates for promotion and tenure. This evaluation occurs on three levels: the academic department/school (“Unit”), the College, and the University. For faculty</w:t>
      </w:r>
      <w:r w:rsidRPr="40CAFB3C">
        <w:rPr>
          <w:rStyle w:val="None"/>
          <w:rFonts w:eastAsia="Arial" w:cs="Arial"/>
          <w:spacing w:val="-3"/>
          <w:sz w:val="22"/>
          <w:szCs w:val="22"/>
        </w:rPr>
        <w:t xml:space="preserve"> </w:t>
      </w:r>
      <w:r w:rsidRPr="40CAFB3C">
        <w:rPr>
          <w:rStyle w:val="None"/>
          <w:rFonts w:eastAsia="Arial" w:cs="Arial"/>
          <w:sz w:val="22"/>
          <w:szCs w:val="22"/>
        </w:rPr>
        <w:t>located at campuses</w:t>
      </w:r>
      <w:r w:rsidRPr="40CAFB3C">
        <w:rPr>
          <w:rStyle w:val="None"/>
          <w:rFonts w:eastAsia="Arial" w:cs="Arial"/>
          <w:spacing w:val="-3"/>
          <w:sz w:val="22"/>
          <w:szCs w:val="22"/>
        </w:rPr>
        <w:t xml:space="preserve"> </w:t>
      </w:r>
      <w:r w:rsidRPr="40CAFB3C">
        <w:rPr>
          <w:rStyle w:val="None"/>
          <w:rFonts w:eastAsia="Arial" w:cs="Arial"/>
          <w:sz w:val="22"/>
          <w:szCs w:val="22"/>
        </w:rPr>
        <w:t>other than University</w:t>
      </w:r>
      <w:r w:rsidRPr="40CAFB3C">
        <w:rPr>
          <w:rStyle w:val="None"/>
          <w:rFonts w:eastAsia="Arial" w:cs="Arial"/>
          <w:spacing w:val="-3"/>
          <w:sz w:val="22"/>
          <w:szCs w:val="22"/>
        </w:rPr>
        <w:t xml:space="preserve"> </w:t>
      </w:r>
      <w:r w:rsidRPr="40CAFB3C">
        <w:rPr>
          <w:rStyle w:val="None"/>
          <w:rFonts w:eastAsia="Arial" w:cs="Arial"/>
          <w:sz w:val="22"/>
          <w:szCs w:val="22"/>
        </w:rPr>
        <w:t>Park, but who retain tenure at University Park, the first level of review is conducted</w:t>
      </w:r>
      <w:r w:rsidRPr="40CAFB3C">
        <w:rPr>
          <w:rStyle w:val="None"/>
          <w:rFonts w:eastAsia="Arial" w:cs="Arial"/>
          <w:spacing w:val="40"/>
          <w:sz w:val="22"/>
          <w:szCs w:val="22"/>
        </w:rPr>
        <w:t xml:space="preserve"> </w:t>
      </w:r>
      <w:r w:rsidRPr="40CAFB3C">
        <w:rPr>
          <w:rStyle w:val="None"/>
          <w:rFonts w:eastAsia="Arial" w:cs="Arial"/>
          <w:sz w:val="22"/>
          <w:szCs w:val="22"/>
        </w:rPr>
        <w:t>at their campus of residence. The Unit review focuses on the quality of work in the discipline itself; the College-level review takes a broader, all-college perspective with administrative judgments included and the University review monitors general standards of quality and equity from the broadest</w:t>
      </w:r>
      <w:r w:rsidRPr="40CAFB3C">
        <w:rPr>
          <w:rStyle w:val="None"/>
          <w:rFonts w:eastAsia="Arial" w:cs="Arial"/>
          <w:spacing w:val="40"/>
          <w:sz w:val="22"/>
          <w:szCs w:val="22"/>
        </w:rPr>
        <w:t xml:space="preserve"> </w:t>
      </w:r>
      <w:r w:rsidRPr="40CAFB3C">
        <w:rPr>
          <w:rStyle w:val="None"/>
          <w:rFonts w:eastAsia="Arial" w:cs="Arial"/>
          <w:sz w:val="22"/>
          <w:szCs w:val="22"/>
        </w:rPr>
        <w:t>perspective. At each of these areas, the review shall be more stringent. There shall be consultation between the appropriate Unit Head and the candidate on the results of this evaluation, with suggestions for ways in which performance can be improved. A record shall be kept of the nature and result of this review.</w:t>
      </w:r>
    </w:p>
    <w:p w14:paraId="5CDE4811" w14:textId="77777777" w:rsidR="00D760E5" w:rsidRDefault="40CAFB3C" w:rsidP="40CAFB3C">
      <w:pPr>
        <w:pStyle w:val="BodyText"/>
        <w:spacing w:after="120"/>
        <w:ind w:left="913" w:right="30"/>
        <w:jc w:val="both"/>
        <w:rPr>
          <w:rStyle w:val="None"/>
          <w:rFonts w:eastAsia="Arial" w:cs="Arial"/>
          <w:sz w:val="22"/>
          <w:szCs w:val="22"/>
        </w:rPr>
      </w:pPr>
      <w:r w:rsidRPr="40CAFB3C">
        <w:rPr>
          <w:rStyle w:val="None"/>
          <w:rFonts w:eastAsia="Arial" w:cs="Arial"/>
          <w:sz w:val="22"/>
          <w:szCs w:val="22"/>
        </w:rPr>
        <w:t xml:space="preserve">There are two levels of review within the College of Health and Human Development: the (academic) Unit review and the College review. At the College level, the College Promotion and Tenure Committee shall review the second-, fourth-, and sixth-year </w:t>
      </w:r>
      <w:r w:rsidRPr="40CAFB3C">
        <w:rPr>
          <w:rStyle w:val="None"/>
          <w:rFonts w:eastAsia="Arial" w:cs="Arial"/>
          <w:sz w:val="22"/>
          <w:szCs w:val="22"/>
        </w:rPr>
        <w:lastRenderedPageBreak/>
        <w:t>candidacies, any special out-of-sequence or off-year candidacies, as well as all promotion candidacies.</w:t>
      </w:r>
    </w:p>
    <w:p w14:paraId="1715F323" w14:textId="77777777" w:rsidR="00D760E5" w:rsidRDefault="40CAFB3C" w:rsidP="40CAFB3C">
      <w:pPr>
        <w:pStyle w:val="BodyText"/>
        <w:spacing w:after="120"/>
        <w:ind w:left="913" w:right="30"/>
        <w:jc w:val="both"/>
        <w:rPr>
          <w:rStyle w:val="None"/>
          <w:rFonts w:eastAsia="Arial" w:cs="Arial"/>
          <w:sz w:val="22"/>
          <w:szCs w:val="22"/>
        </w:rPr>
      </w:pPr>
      <w:r w:rsidRPr="40CAFB3C">
        <w:rPr>
          <w:rStyle w:val="None"/>
          <w:rFonts w:eastAsia="Arial" w:cs="Arial"/>
          <w:sz w:val="22"/>
          <w:szCs w:val="22"/>
        </w:rPr>
        <w:t>Particular emphasis and focus should be given at the respective review levels as follows. However, for faculty located at campuses other than University Park,</w:t>
      </w:r>
      <w:r w:rsidRPr="40CAFB3C">
        <w:rPr>
          <w:rStyle w:val="None"/>
          <w:rFonts w:eastAsia="Arial" w:cs="Arial"/>
          <w:spacing w:val="-10"/>
          <w:sz w:val="22"/>
          <w:szCs w:val="22"/>
        </w:rPr>
        <w:t xml:space="preserve"> </w:t>
      </w:r>
      <w:r w:rsidRPr="40CAFB3C">
        <w:rPr>
          <w:rStyle w:val="None"/>
          <w:rFonts w:eastAsia="Arial" w:cs="Arial"/>
          <w:sz w:val="22"/>
          <w:szCs w:val="22"/>
        </w:rPr>
        <w:t>but</w:t>
      </w:r>
      <w:r w:rsidRPr="40CAFB3C">
        <w:rPr>
          <w:rStyle w:val="None"/>
          <w:rFonts w:eastAsia="Arial" w:cs="Arial"/>
          <w:spacing w:val="-7"/>
          <w:sz w:val="22"/>
          <w:szCs w:val="22"/>
        </w:rPr>
        <w:t xml:space="preserve"> </w:t>
      </w:r>
      <w:r w:rsidRPr="40CAFB3C">
        <w:rPr>
          <w:rStyle w:val="None"/>
          <w:rFonts w:eastAsia="Arial" w:cs="Arial"/>
          <w:sz w:val="22"/>
          <w:szCs w:val="22"/>
        </w:rPr>
        <w:t>who</w:t>
      </w:r>
      <w:r w:rsidRPr="40CAFB3C">
        <w:rPr>
          <w:rStyle w:val="None"/>
          <w:rFonts w:eastAsia="Arial" w:cs="Arial"/>
          <w:spacing w:val="-9"/>
          <w:sz w:val="22"/>
          <w:szCs w:val="22"/>
        </w:rPr>
        <w:t xml:space="preserve"> </w:t>
      </w:r>
      <w:r w:rsidRPr="40CAFB3C">
        <w:rPr>
          <w:rStyle w:val="None"/>
          <w:rFonts w:eastAsia="Arial" w:cs="Arial"/>
          <w:sz w:val="22"/>
          <w:szCs w:val="22"/>
        </w:rPr>
        <w:t>retain</w:t>
      </w:r>
      <w:r w:rsidRPr="40CAFB3C">
        <w:rPr>
          <w:rStyle w:val="None"/>
          <w:rFonts w:eastAsia="Arial" w:cs="Arial"/>
          <w:spacing w:val="-12"/>
          <w:sz w:val="22"/>
          <w:szCs w:val="22"/>
        </w:rPr>
        <w:t xml:space="preserve"> </w:t>
      </w:r>
      <w:r w:rsidRPr="40CAFB3C">
        <w:rPr>
          <w:rStyle w:val="None"/>
          <w:rFonts w:eastAsia="Arial" w:cs="Arial"/>
          <w:sz w:val="22"/>
          <w:szCs w:val="22"/>
        </w:rPr>
        <w:t>tenure</w:t>
      </w:r>
      <w:r w:rsidRPr="40CAFB3C">
        <w:rPr>
          <w:rStyle w:val="None"/>
          <w:rFonts w:eastAsia="Arial" w:cs="Arial"/>
          <w:spacing w:val="-12"/>
          <w:sz w:val="22"/>
          <w:szCs w:val="22"/>
        </w:rPr>
        <w:t xml:space="preserve"> </w:t>
      </w:r>
      <w:r w:rsidRPr="40CAFB3C">
        <w:rPr>
          <w:rStyle w:val="None"/>
          <w:rFonts w:eastAsia="Arial" w:cs="Arial"/>
          <w:sz w:val="22"/>
          <w:szCs w:val="22"/>
        </w:rPr>
        <w:t>at</w:t>
      </w:r>
      <w:r w:rsidRPr="40CAFB3C">
        <w:rPr>
          <w:rStyle w:val="None"/>
          <w:rFonts w:eastAsia="Arial" w:cs="Arial"/>
          <w:spacing w:val="-12"/>
          <w:sz w:val="22"/>
          <w:szCs w:val="22"/>
        </w:rPr>
        <w:t xml:space="preserve"> </w:t>
      </w:r>
      <w:r w:rsidRPr="40CAFB3C">
        <w:rPr>
          <w:rStyle w:val="None"/>
          <w:rFonts w:eastAsia="Arial" w:cs="Arial"/>
          <w:sz w:val="22"/>
          <w:szCs w:val="22"/>
        </w:rPr>
        <w:t>University</w:t>
      </w:r>
      <w:r w:rsidRPr="40CAFB3C">
        <w:rPr>
          <w:rStyle w:val="None"/>
          <w:rFonts w:eastAsia="Arial" w:cs="Arial"/>
          <w:spacing w:val="-15"/>
          <w:sz w:val="22"/>
          <w:szCs w:val="22"/>
        </w:rPr>
        <w:t xml:space="preserve"> </w:t>
      </w:r>
      <w:r w:rsidRPr="40CAFB3C">
        <w:rPr>
          <w:rStyle w:val="None"/>
          <w:rFonts w:eastAsia="Arial" w:cs="Arial"/>
          <w:sz w:val="22"/>
          <w:szCs w:val="22"/>
        </w:rPr>
        <w:t>Park</w:t>
      </w:r>
      <w:r w:rsidRPr="40CAFB3C">
        <w:rPr>
          <w:rStyle w:val="None"/>
          <w:rFonts w:eastAsia="Arial" w:cs="Arial"/>
          <w:spacing w:val="-10"/>
          <w:sz w:val="22"/>
          <w:szCs w:val="22"/>
        </w:rPr>
        <w:t xml:space="preserve"> </w:t>
      </w:r>
      <w:r w:rsidRPr="40CAFB3C">
        <w:rPr>
          <w:rStyle w:val="None"/>
          <w:rFonts w:eastAsia="Arial" w:cs="Arial"/>
          <w:sz w:val="22"/>
          <w:szCs w:val="22"/>
        </w:rPr>
        <w:t>and</w:t>
      </w:r>
      <w:r w:rsidRPr="40CAFB3C">
        <w:rPr>
          <w:rStyle w:val="None"/>
          <w:rFonts w:eastAsia="Arial" w:cs="Arial"/>
          <w:spacing w:val="-12"/>
          <w:sz w:val="22"/>
          <w:szCs w:val="22"/>
        </w:rPr>
        <w:t xml:space="preserve"> </w:t>
      </w:r>
      <w:r w:rsidRPr="40CAFB3C">
        <w:rPr>
          <w:rStyle w:val="None"/>
          <w:rFonts w:eastAsia="Arial" w:cs="Arial"/>
          <w:sz w:val="22"/>
          <w:szCs w:val="22"/>
        </w:rPr>
        <w:t>seek</w:t>
      </w:r>
      <w:r w:rsidRPr="40CAFB3C">
        <w:rPr>
          <w:rStyle w:val="None"/>
          <w:rFonts w:eastAsia="Arial" w:cs="Arial"/>
          <w:spacing w:val="-15"/>
          <w:sz w:val="22"/>
          <w:szCs w:val="22"/>
        </w:rPr>
        <w:t xml:space="preserve"> </w:t>
      </w:r>
      <w:r w:rsidRPr="40CAFB3C">
        <w:rPr>
          <w:rStyle w:val="None"/>
          <w:rFonts w:eastAsia="Arial" w:cs="Arial"/>
          <w:sz w:val="22"/>
          <w:szCs w:val="22"/>
        </w:rPr>
        <w:t>promotion,</w:t>
      </w:r>
      <w:r w:rsidRPr="40CAFB3C">
        <w:rPr>
          <w:rStyle w:val="None"/>
          <w:rFonts w:eastAsia="Arial" w:cs="Arial"/>
          <w:spacing w:val="-12"/>
          <w:sz w:val="22"/>
          <w:szCs w:val="22"/>
        </w:rPr>
        <w:t xml:space="preserve"> </w:t>
      </w:r>
      <w:r w:rsidRPr="40CAFB3C">
        <w:rPr>
          <w:rStyle w:val="None"/>
          <w:rFonts w:eastAsia="Arial" w:cs="Arial"/>
          <w:sz w:val="22"/>
          <w:szCs w:val="22"/>
        </w:rPr>
        <w:t>the</w:t>
      </w:r>
      <w:r w:rsidRPr="40CAFB3C">
        <w:rPr>
          <w:rStyle w:val="None"/>
          <w:rFonts w:eastAsia="Arial" w:cs="Arial"/>
          <w:spacing w:val="-14"/>
          <w:sz w:val="22"/>
          <w:szCs w:val="22"/>
        </w:rPr>
        <w:t xml:space="preserve"> </w:t>
      </w:r>
      <w:r w:rsidRPr="40CAFB3C">
        <w:rPr>
          <w:rStyle w:val="None"/>
          <w:rFonts w:eastAsia="Arial" w:cs="Arial"/>
          <w:sz w:val="22"/>
          <w:szCs w:val="22"/>
        </w:rPr>
        <w:t>following evaluations shall be applied taking into consideration the mission and work assignments at their particular location.</w:t>
      </w:r>
    </w:p>
    <w:p w14:paraId="113B1EC3" w14:textId="77777777" w:rsidR="00D760E5" w:rsidRDefault="40CAFB3C">
      <w:pPr>
        <w:pStyle w:val="ListParagraph"/>
        <w:numPr>
          <w:ilvl w:val="0"/>
          <w:numId w:val="19"/>
        </w:numPr>
        <w:jc w:val="left"/>
        <w:rPr>
          <w:rFonts w:eastAsia="Arial" w:cs="Arial"/>
        </w:rPr>
      </w:pPr>
      <w:r w:rsidRPr="40CAFB3C">
        <w:rPr>
          <w:rStyle w:val="None"/>
          <w:rFonts w:eastAsia="Arial" w:cs="Arial"/>
        </w:rPr>
        <w:t>Focus at the two levels:</w:t>
      </w:r>
    </w:p>
    <w:p w14:paraId="0789C72C" w14:textId="06F7FF98" w:rsidR="40CAFB3C" w:rsidRDefault="40CAFB3C" w:rsidP="40CAFB3C">
      <w:pPr>
        <w:pStyle w:val="ListParagraph"/>
        <w:rPr>
          <w:rFonts w:eastAsia="Arial" w:cs="Arial"/>
        </w:rPr>
      </w:pPr>
    </w:p>
    <w:p w14:paraId="0E6CDECD" w14:textId="77777777" w:rsidR="00D760E5" w:rsidRDefault="40CAFB3C">
      <w:pPr>
        <w:pStyle w:val="ListParagraph"/>
        <w:numPr>
          <w:ilvl w:val="1"/>
          <w:numId w:val="19"/>
        </w:numPr>
        <w:jc w:val="left"/>
        <w:rPr>
          <w:rFonts w:eastAsia="Arial" w:cs="Arial"/>
        </w:rPr>
      </w:pPr>
      <w:r w:rsidRPr="40CAFB3C">
        <w:rPr>
          <w:rStyle w:val="None"/>
          <w:rFonts w:eastAsia="Arial" w:cs="Arial"/>
        </w:rPr>
        <w:t>Academic Unit</w:t>
      </w:r>
    </w:p>
    <w:p w14:paraId="1CCEC9B7" w14:textId="77777777" w:rsidR="00D760E5" w:rsidRDefault="40CAFB3C">
      <w:pPr>
        <w:pStyle w:val="ListParagraph"/>
        <w:numPr>
          <w:ilvl w:val="2"/>
          <w:numId w:val="21"/>
        </w:numPr>
        <w:jc w:val="left"/>
        <w:rPr>
          <w:rFonts w:eastAsia="Arial" w:cs="Arial"/>
        </w:rPr>
      </w:pPr>
      <w:r w:rsidRPr="40CAFB3C">
        <w:rPr>
          <w:rStyle w:val="None"/>
          <w:rFonts w:eastAsia="Arial" w:cs="Arial"/>
        </w:rPr>
        <w:t>Evaluation of the scholarship of teaching and learning</w:t>
      </w:r>
    </w:p>
    <w:p w14:paraId="03DCB956" w14:textId="77777777" w:rsidR="00D760E5" w:rsidRDefault="40CAFB3C">
      <w:pPr>
        <w:pStyle w:val="ListParagraph"/>
        <w:numPr>
          <w:ilvl w:val="2"/>
          <w:numId w:val="21"/>
        </w:numPr>
        <w:jc w:val="left"/>
        <w:rPr>
          <w:rFonts w:eastAsia="Arial" w:cs="Arial"/>
        </w:rPr>
      </w:pPr>
      <w:r w:rsidRPr="40CAFB3C">
        <w:rPr>
          <w:rStyle w:val="None"/>
          <w:rFonts w:eastAsia="Arial" w:cs="Arial"/>
        </w:rPr>
        <w:t>Evaluation of the scholarship of research and creative accomplishment</w:t>
      </w:r>
    </w:p>
    <w:p w14:paraId="288125D3" w14:textId="77777777" w:rsidR="00D760E5" w:rsidRDefault="40CAFB3C">
      <w:pPr>
        <w:pStyle w:val="ListParagraph"/>
        <w:numPr>
          <w:ilvl w:val="2"/>
          <w:numId w:val="22"/>
        </w:numPr>
        <w:ind w:right="2598"/>
        <w:jc w:val="left"/>
        <w:rPr>
          <w:rFonts w:eastAsia="Arial" w:cs="Arial"/>
        </w:rPr>
      </w:pPr>
      <w:r w:rsidRPr="40CAFB3C">
        <w:rPr>
          <w:rStyle w:val="None"/>
          <w:rFonts w:eastAsia="Arial" w:cs="Arial"/>
        </w:rPr>
        <w:t>Evaluation of service and the scholarship of service to the University, Society and the Profession</w:t>
      </w:r>
    </w:p>
    <w:p w14:paraId="104521BE" w14:textId="3FFBDFFF" w:rsidR="40CAFB3C" w:rsidRDefault="40CAFB3C" w:rsidP="40CAFB3C">
      <w:pPr>
        <w:pStyle w:val="ListParagraph"/>
        <w:rPr>
          <w:rFonts w:eastAsia="Arial" w:cs="Arial"/>
        </w:rPr>
      </w:pPr>
    </w:p>
    <w:p w14:paraId="3BE45269" w14:textId="77777777" w:rsidR="00D760E5" w:rsidRDefault="40CAFB3C">
      <w:pPr>
        <w:pStyle w:val="ListParagraph"/>
        <w:numPr>
          <w:ilvl w:val="1"/>
          <w:numId w:val="19"/>
        </w:numPr>
        <w:jc w:val="left"/>
        <w:rPr>
          <w:rFonts w:eastAsia="Arial" w:cs="Arial"/>
        </w:rPr>
      </w:pPr>
      <w:r w:rsidRPr="40CAFB3C">
        <w:rPr>
          <w:rStyle w:val="None"/>
          <w:rFonts w:eastAsia="Arial" w:cs="Arial"/>
        </w:rPr>
        <w:t>College</w:t>
      </w:r>
    </w:p>
    <w:p w14:paraId="0E31F261" w14:textId="7A45BB81" w:rsidR="40CAFB3C" w:rsidRDefault="40CAFB3C" w:rsidP="40CAFB3C">
      <w:pPr>
        <w:pStyle w:val="ListParagraph"/>
        <w:rPr>
          <w:rFonts w:eastAsia="Arial" w:cs="Arial"/>
        </w:rPr>
      </w:pPr>
    </w:p>
    <w:p w14:paraId="0C028DE0" w14:textId="4ED16B0C" w:rsidR="00D760E5" w:rsidRDefault="40CAFB3C">
      <w:pPr>
        <w:pStyle w:val="ListParagraph"/>
        <w:numPr>
          <w:ilvl w:val="2"/>
          <w:numId w:val="21"/>
        </w:numPr>
        <w:jc w:val="left"/>
        <w:rPr>
          <w:rFonts w:eastAsia="Arial" w:cs="Arial"/>
        </w:rPr>
      </w:pPr>
      <w:r w:rsidRPr="40CAFB3C">
        <w:rPr>
          <w:rStyle w:val="None"/>
          <w:rFonts w:eastAsia="Arial" w:cs="Arial"/>
        </w:rPr>
        <w:t>College criteria</w:t>
      </w:r>
    </w:p>
    <w:p w14:paraId="5BA11B55" w14:textId="77777777" w:rsidR="00D760E5" w:rsidRDefault="40CAFB3C">
      <w:pPr>
        <w:pStyle w:val="ListParagraph"/>
        <w:numPr>
          <w:ilvl w:val="2"/>
          <w:numId w:val="21"/>
        </w:numPr>
        <w:jc w:val="left"/>
        <w:rPr>
          <w:rFonts w:eastAsia="Arial" w:cs="Arial"/>
        </w:rPr>
      </w:pPr>
      <w:r w:rsidRPr="40CAFB3C">
        <w:rPr>
          <w:rStyle w:val="None"/>
          <w:rFonts w:eastAsia="Arial" w:cs="Arial"/>
        </w:rPr>
        <w:t>Quality of documentation</w:t>
      </w:r>
    </w:p>
    <w:p w14:paraId="0D9BC9D4" w14:textId="77777777" w:rsidR="00D760E5" w:rsidRDefault="40CAFB3C">
      <w:pPr>
        <w:pStyle w:val="ListParagraph"/>
        <w:numPr>
          <w:ilvl w:val="2"/>
          <w:numId w:val="21"/>
        </w:numPr>
        <w:jc w:val="left"/>
        <w:rPr>
          <w:rFonts w:eastAsia="Arial" w:cs="Arial"/>
        </w:rPr>
      </w:pPr>
      <w:r w:rsidRPr="40CAFB3C">
        <w:rPr>
          <w:rStyle w:val="None"/>
          <w:rFonts w:eastAsia="Arial" w:cs="Arial"/>
        </w:rPr>
        <w:t>Equity among programs</w:t>
      </w:r>
    </w:p>
    <w:p w14:paraId="6D0675E8" w14:textId="77777777" w:rsidR="00D760E5" w:rsidRDefault="40CAFB3C">
      <w:pPr>
        <w:pStyle w:val="ListParagraph"/>
        <w:numPr>
          <w:ilvl w:val="2"/>
          <w:numId w:val="21"/>
        </w:numPr>
        <w:jc w:val="left"/>
        <w:rPr>
          <w:rFonts w:eastAsia="Arial" w:cs="Arial"/>
        </w:rPr>
      </w:pPr>
      <w:r w:rsidRPr="40CAFB3C">
        <w:rPr>
          <w:rStyle w:val="None"/>
          <w:rFonts w:eastAsia="Arial" w:cs="Arial"/>
        </w:rPr>
        <w:t>Procedural fairness</w:t>
      </w:r>
    </w:p>
    <w:p w14:paraId="38BCEC0F" w14:textId="5BE655ED" w:rsidR="40CAFB3C" w:rsidRDefault="40CAFB3C" w:rsidP="40CAFB3C">
      <w:pPr>
        <w:pStyle w:val="ListParagraph"/>
        <w:rPr>
          <w:rFonts w:eastAsia="Arial" w:cs="Arial"/>
        </w:rPr>
      </w:pPr>
    </w:p>
    <w:p w14:paraId="598648EE" w14:textId="77777777" w:rsidR="00D760E5" w:rsidRDefault="40CAFB3C" w:rsidP="40CAFB3C">
      <w:pPr>
        <w:pStyle w:val="BodyText"/>
        <w:spacing w:after="120"/>
        <w:ind w:left="900" w:right="30"/>
        <w:jc w:val="both"/>
        <w:rPr>
          <w:rStyle w:val="None"/>
          <w:rFonts w:eastAsia="Arial" w:cs="Arial"/>
          <w:sz w:val="22"/>
          <w:szCs w:val="22"/>
        </w:rPr>
      </w:pPr>
      <w:r w:rsidRPr="40CAFB3C">
        <w:rPr>
          <w:rStyle w:val="None"/>
          <w:rFonts w:eastAsia="Arial" w:cs="Arial"/>
          <w:sz w:val="22"/>
          <w:szCs w:val="22"/>
        </w:rPr>
        <w:t>For candidates whose probationary period included the calendar years 2020-21, committees at both levels of review will be expected to consider dossiers within the context of the extraordinary events occurring within that time-period. More specific guidance on the committee review of calendar years 2020-21 material is available at both the University and college levels. The college encourages candidates</w:t>
      </w:r>
      <w:r w:rsidRPr="40CAFB3C">
        <w:rPr>
          <w:rStyle w:val="None"/>
          <w:rFonts w:eastAsia="Arial" w:cs="Arial"/>
          <w:spacing w:val="-3"/>
          <w:sz w:val="22"/>
          <w:szCs w:val="22"/>
        </w:rPr>
        <w:t xml:space="preserve"> </w:t>
      </w:r>
      <w:r w:rsidRPr="40CAFB3C">
        <w:rPr>
          <w:rStyle w:val="None"/>
          <w:rFonts w:eastAsia="Arial" w:cs="Arial"/>
          <w:sz w:val="22"/>
          <w:szCs w:val="22"/>
        </w:rPr>
        <w:t>to review</w:t>
      </w:r>
      <w:r w:rsidRPr="40CAFB3C">
        <w:rPr>
          <w:rStyle w:val="None"/>
          <w:rFonts w:eastAsia="Arial" w:cs="Arial"/>
          <w:spacing w:val="-3"/>
          <w:sz w:val="22"/>
          <w:szCs w:val="22"/>
        </w:rPr>
        <w:t xml:space="preserve"> </w:t>
      </w:r>
      <w:r w:rsidRPr="40CAFB3C">
        <w:rPr>
          <w:rStyle w:val="None"/>
          <w:rFonts w:eastAsia="Arial" w:cs="Arial"/>
          <w:sz w:val="22"/>
          <w:szCs w:val="22"/>
        </w:rPr>
        <w:t>the guidelines</w:t>
      </w:r>
      <w:r w:rsidRPr="40CAFB3C">
        <w:rPr>
          <w:rStyle w:val="None"/>
          <w:rFonts w:eastAsia="Arial" w:cs="Arial"/>
          <w:spacing w:val="-5"/>
          <w:sz w:val="22"/>
          <w:szCs w:val="22"/>
        </w:rPr>
        <w:t xml:space="preserve"> </w:t>
      </w:r>
      <w:r w:rsidRPr="40CAFB3C">
        <w:rPr>
          <w:rStyle w:val="None"/>
          <w:rFonts w:eastAsia="Arial" w:cs="Arial"/>
          <w:sz w:val="22"/>
          <w:szCs w:val="22"/>
        </w:rPr>
        <w:t>developed</w:t>
      </w:r>
      <w:r w:rsidRPr="40CAFB3C">
        <w:rPr>
          <w:rStyle w:val="None"/>
          <w:rFonts w:eastAsia="Arial" w:cs="Arial"/>
          <w:spacing w:val="-3"/>
          <w:sz w:val="22"/>
          <w:szCs w:val="22"/>
        </w:rPr>
        <w:t xml:space="preserve"> </w:t>
      </w:r>
      <w:r w:rsidRPr="40CAFB3C">
        <w:rPr>
          <w:rStyle w:val="None"/>
          <w:rFonts w:eastAsia="Arial" w:cs="Arial"/>
          <w:sz w:val="22"/>
          <w:szCs w:val="22"/>
        </w:rPr>
        <w:t>for</w:t>
      </w:r>
      <w:r w:rsidRPr="40CAFB3C">
        <w:rPr>
          <w:rStyle w:val="None"/>
          <w:rFonts w:eastAsia="Arial" w:cs="Arial"/>
          <w:spacing w:val="-3"/>
          <w:sz w:val="22"/>
          <w:szCs w:val="22"/>
        </w:rPr>
        <w:t xml:space="preserve"> </w:t>
      </w:r>
      <w:proofErr w:type="gramStart"/>
      <w:r w:rsidRPr="40CAFB3C">
        <w:rPr>
          <w:rStyle w:val="None"/>
          <w:rFonts w:eastAsia="Arial" w:cs="Arial"/>
          <w:sz w:val="22"/>
          <w:szCs w:val="22"/>
        </w:rPr>
        <w:t>committees</w:t>
      </w:r>
      <w:proofErr w:type="gramEnd"/>
      <w:r w:rsidRPr="40CAFB3C">
        <w:rPr>
          <w:rStyle w:val="None"/>
          <w:rFonts w:eastAsia="Arial" w:cs="Arial"/>
          <w:spacing w:val="-3"/>
          <w:sz w:val="22"/>
          <w:szCs w:val="22"/>
        </w:rPr>
        <w:t xml:space="preserve"> </w:t>
      </w:r>
      <w:r w:rsidRPr="40CAFB3C">
        <w:rPr>
          <w:rStyle w:val="None"/>
          <w:rFonts w:eastAsia="Arial" w:cs="Arial"/>
          <w:sz w:val="22"/>
          <w:szCs w:val="22"/>
        </w:rPr>
        <w:t>way</w:t>
      </w:r>
      <w:r w:rsidRPr="40CAFB3C">
        <w:rPr>
          <w:rStyle w:val="None"/>
          <w:rFonts w:eastAsia="Arial" w:cs="Arial"/>
          <w:spacing w:val="-5"/>
          <w:sz w:val="22"/>
          <w:szCs w:val="22"/>
        </w:rPr>
        <w:t xml:space="preserve"> </w:t>
      </w:r>
      <w:r w:rsidRPr="40CAFB3C">
        <w:rPr>
          <w:rStyle w:val="None"/>
          <w:rFonts w:eastAsia="Arial" w:cs="Arial"/>
          <w:sz w:val="22"/>
          <w:szCs w:val="22"/>
        </w:rPr>
        <w:t>be</w:t>
      </w:r>
      <w:r w:rsidRPr="40CAFB3C">
        <w:rPr>
          <w:rStyle w:val="None"/>
          <w:rFonts w:eastAsia="Arial" w:cs="Arial"/>
          <w:spacing w:val="-3"/>
          <w:sz w:val="22"/>
          <w:szCs w:val="22"/>
        </w:rPr>
        <w:t xml:space="preserve"> </w:t>
      </w:r>
      <w:r w:rsidRPr="40CAFB3C">
        <w:rPr>
          <w:rStyle w:val="None"/>
          <w:rFonts w:eastAsia="Arial" w:cs="Arial"/>
          <w:sz w:val="22"/>
          <w:szCs w:val="22"/>
        </w:rPr>
        <w:t>found</w:t>
      </w:r>
      <w:r w:rsidRPr="40CAFB3C">
        <w:rPr>
          <w:rStyle w:val="None"/>
          <w:rFonts w:eastAsia="Arial" w:cs="Arial"/>
          <w:spacing w:val="-3"/>
          <w:sz w:val="22"/>
          <w:szCs w:val="22"/>
        </w:rPr>
        <w:t xml:space="preserve"> </w:t>
      </w:r>
      <w:r w:rsidRPr="40CAFB3C">
        <w:rPr>
          <w:rStyle w:val="None"/>
          <w:rFonts w:eastAsia="Arial" w:cs="Arial"/>
          <w:sz w:val="22"/>
          <w:szCs w:val="22"/>
        </w:rPr>
        <w:t>at</w:t>
      </w:r>
      <w:r w:rsidRPr="40CAFB3C">
        <w:rPr>
          <w:rStyle w:val="None"/>
          <w:rFonts w:eastAsia="Arial" w:cs="Arial"/>
          <w:spacing w:val="23"/>
          <w:sz w:val="22"/>
          <w:szCs w:val="22"/>
        </w:rPr>
        <w:t xml:space="preserve"> </w:t>
      </w:r>
      <w:r w:rsidRPr="40CAFB3C">
        <w:rPr>
          <w:rStyle w:val="None"/>
          <w:rFonts w:eastAsia="Arial" w:cs="Arial"/>
          <w:sz w:val="22"/>
          <w:szCs w:val="22"/>
        </w:rPr>
        <w:t>the following web locations:</w:t>
      </w:r>
    </w:p>
    <w:p w14:paraId="59DE7A46" w14:textId="77777777" w:rsidR="00D760E5" w:rsidRDefault="40CAFB3C" w:rsidP="40CAFB3C">
      <w:pPr>
        <w:pStyle w:val="BodyText"/>
        <w:spacing w:after="120"/>
        <w:ind w:left="916"/>
        <w:rPr>
          <w:rStyle w:val="None"/>
          <w:rFonts w:eastAsia="Arial" w:cs="Arial"/>
          <w:color w:val="055FC1"/>
          <w:sz w:val="22"/>
          <w:szCs w:val="22"/>
        </w:rPr>
      </w:pPr>
      <w:r w:rsidRPr="40CAFB3C">
        <w:rPr>
          <w:rStyle w:val="None"/>
          <w:rFonts w:eastAsia="Arial" w:cs="Arial"/>
          <w:sz w:val="22"/>
          <w:szCs w:val="22"/>
        </w:rPr>
        <w:t>University</w:t>
      </w:r>
      <w:r w:rsidRPr="40CAFB3C">
        <w:rPr>
          <w:rStyle w:val="None"/>
          <w:rFonts w:eastAsia="Arial" w:cs="Arial"/>
          <w:spacing w:val="-23"/>
          <w:sz w:val="22"/>
          <w:szCs w:val="22"/>
        </w:rPr>
        <w:t xml:space="preserve"> </w:t>
      </w:r>
      <w:r w:rsidRPr="40CAFB3C">
        <w:rPr>
          <w:rStyle w:val="None"/>
          <w:rFonts w:eastAsia="Arial" w:cs="Arial"/>
          <w:sz w:val="22"/>
          <w:szCs w:val="22"/>
        </w:rPr>
        <w:t>guidance</w:t>
      </w:r>
      <w:r w:rsidRPr="40CAFB3C">
        <w:rPr>
          <w:rStyle w:val="None"/>
          <w:rFonts w:eastAsia="Arial" w:cs="Arial"/>
          <w:spacing w:val="-18"/>
          <w:sz w:val="22"/>
          <w:szCs w:val="22"/>
        </w:rPr>
        <w:t xml:space="preserve"> </w:t>
      </w:r>
      <w:r w:rsidRPr="40CAFB3C">
        <w:rPr>
          <w:rStyle w:val="None"/>
          <w:rFonts w:eastAsia="Arial" w:cs="Arial"/>
          <w:sz w:val="22"/>
          <w:szCs w:val="22"/>
        </w:rPr>
        <w:t>for</w:t>
      </w:r>
      <w:r w:rsidRPr="40CAFB3C">
        <w:rPr>
          <w:rStyle w:val="None"/>
          <w:rFonts w:eastAsia="Arial" w:cs="Arial"/>
          <w:spacing w:val="-20"/>
          <w:sz w:val="22"/>
          <w:szCs w:val="22"/>
        </w:rPr>
        <w:t xml:space="preserve"> </w:t>
      </w:r>
      <w:r w:rsidRPr="40CAFB3C">
        <w:rPr>
          <w:rStyle w:val="None"/>
          <w:rFonts w:eastAsia="Arial" w:cs="Arial"/>
          <w:sz w:val="22"/>
          <w:szCs w:val="22"/>
        </w:rPr>
        <w:t>committees:</w:t>
      </w:r>
      <w:r w:rsidRPr="40CAFB3C">
        <w:rPr>
          <w:rStyle w:val="None"/>
          <w:rFonts w:eastAsia="Arial" w:cs="Arial"/>
          <w:spacing w:val="24"/>
          <w:sz w:val="22"/>
          <w:szCs w:val="22"/>
        </w:rPr>
        <w:t xml:space="preserve"> </w:t>
      </w:r>
      <w:hyperlink r:id="rId12" w:history="1">
        <w:r>
          <w:rPr>
            <w:rStyle w:val="Hyperlink3"/>
          </w:rPr>
          <w:t>VPFA</w:t>
        </w:r>
        <w:r>
          <w:rPr>
            <w:rStyle w:val="Link"/>
            <w:color w:val="055FC1"/>
            <w:spacing w:val="-15"/>
            <w:sz w:val="22"/>
            <w:szCs w:val="22"/>
            <w:shd w:val="clear" w:color="auto" w:fill="FFFFFF"/>
          </w:rPr>
          <w:t xml:space="preserve"> </w:t>
        </w:r>
        <w:r>
          <w:rPr>
            <w:rStyle w:val="Hyperlink3"/>
          </w:rPr>
          <w:t>Promotion</w:t>
        </w:r>
        <w:r>
          <w:rPr>
            <w:rStyle w:val="Link"/>
            <w:color w:val="055FC1"/>
            <w:spacing w:val="-17"/>
            <w:sz w:val="22"/>
            <w:szCs w:val="22"/>
            <w:shd w:val="clear" w:color="auto" w:fill="FFFFFF"/>
          </w:rPr>
          <w:t xml:space="preserve"> </w:t>
        </w:r>
        <w:r>
          <w:rPr>
            <w:rStyle w:val="Hyperlink3"/>
          </w:rPr>
          <w:t>and</w:t>
        </w:r>
        <w:r>
          <w:rPr>
            <w:rStyle w:val="Link"/>
            <w:color w:val="055FC1"/>
            <w:spacing w:val="-18"/>
            <w:sz w:val="22"/>
            <w:szCs w:val="22"/>
            <w:shd w:val="clear" w:color="auto" w:fill="FFFFFF"/>
          </w:rPr>
          <w:t xml:space="preserve"> </w:t>
        </w:r>
        <w:r>
          <w:rPr>
            <w:rStyle w:val="Hyperlink3"/>
          </w:rPr>
          <w:t>Tenure</w:t>
        </w:r>
        <w:r>
          <w:rPr>
            <w:rStyle w:val="Link"/>
            <w:color w:val="055FC1"/>
            <w:spacing w:val="-7"/>
            <w:sz w:val="22"/>
            <w:szCs w:val="22"/>
            <w:shd w:val="clear" w:color="auto" w:fill="FFFFFF"/>
          </w:rPr>
          <w:t xml:space="preserve"> </w:t>
        </w:r>
        <w:r>
          <w:rPr>
            <w:rStyle w:val="Link"/>
            <w:color w:val="055FC1"/>
            <w:spacing w:val="-1"/>
            <w:sz w:val="22"/>
            <w:szCs w:val="22"/>
            <w:shd w:val="clear" w:color="auto" w:fill="FFFFFF"/>
          </w:rPr>
          <w:t>webpage</w:t>
        </w:r>
      </w:hyperlink>
    </w:p>
    <w:p w14:paraId="1C409613" w14:textId="77777777" w:rsidR="00D760E5" w:rsidRDefault="40CAFB3C" w:rsidP="40CAFB3C">
      <w:pPr>
        <w:pStyle w:val="BodyText"/>
        <w:spacing w:after="120"/>
        <w:ind w:left="916"/>
        <w:rPr>
          <w:rStyle w:val="None"/>
          <w:rFonts w:eastAsia="Arial" w:cs="Arial"/>
          <w:spacing w:val="-1"/>
          <w:sz w:val="22"/>
          <w:szCs w:val="22"/>
        </w:rPr>
      </w:pPr>
      <w:r w:rsidRPr="40CAFB3C">
        <w:rPr>
          <w:rStyle w:val="None"/>
          <w:rFonts w:eastAsia="Arial" w:cs="Arial"/>
          <w:sz w:val="22"/>
          <w:szCs w:val="22"/>
        </w:rPr>
        <w:t>College</w:t>
      </w:r>
      <w:r w:rsidRPr="40CAFB3C">
        <w:rPr>
          <w:rStyle w:val="None"/>
          <w:rFonts w:eastAsia="Arial" w:cs="Arial"/>
          <w:spacing w:val="1"/>
          <w:sz w:val="22"/>
          <w:szCs w:val="22"/>
        </w:rPr>
        <w:t xml:space="preserve"> </w:t>
      </w:r>
      <w:r w:rsidRPr="40CAFB3C">
        <w:rPr>
          <w:rStyle w:val="None"/>
          <w:rFonts w:eastAsia="Arial" w:cs="Arial"/>
          <w:sz w:val="22"/>
          <w:szCs w:val="22"/>
        </w:rPr>
        <w:t>guidance</w:t>
      </w:r>
      <w:r w:rsidRPr="40CAFB3C">
        <w:rPr>
          <w:rStyle w:val="None"/>
          <w:rFonts w:eastAsia="Arial" w:cs="Arial"/>
          <w:spacing w:val="-9"/>
          <w:sz w:val="22"/>
          <w:szCs w:val="22"/>
        </w:rPr>
        <w:t xml:space="preserve"> </w:t>
      </w:r>
      <w:r w:rsidRPr="40CAFB3C">
        <w:rPr>
          <w:rStyle w:val="None"/>
          <w:rFonts w:eastAsia="Arial" w:cs="Arial"/>
          <w:sz w:val="22"/>
          <w:szCs w:val="22"/>
        </w:rPr>
        <w:t>for</w:t>
      </w:r>
      <w:r w:rsidRPr="40CAFB3C">
        <w:rPr>
          <w:rStyle w:val="None"/>
          <w:rFonts w:eastAsia="Arial" w:cs="Arial"/>
          <w:spacing w:val="-5"/>
          <w:sz w:val="22"/>
          <w:szCs w:val="22"/>
        </w:rPr>
        <w:t xml:space="preserve"> </w:t>
      </w:r>
      <w:r w:rsidRPr="40CAFB3C">
        <w:rPr>
          <w:rStyle w:val="None"/>
          <w:rFonts w:eastAsia="Arial" w:cs="Arial"/>
          <w:sz w:val="22"/>
          <w:szCs w:val="22"/>
        </w:rPr>
        <w:t>committees:</w:t>
      </w:r>
      <w:r w:rsidRPr="40CAFB3C">
        <w:rPr>
          <w:rStyle w:val="None"/>
          <w:rFonts w:eastAsia="Arial" w:cs="Arial"/>
          <w:spacing w:val="13"/>
          <w:sz w:val="22"/>
          <w:szCs w:val="22"/>
        </w:rPr>
        <w:t xml:space="preserve"> </w:t>
      </w:r>
      <w:hyperlink r:id="rId13" w:history="1">
        <w:r>
          <w:rPr>
            <w:rStyle w:val="Hyperlink4"/>
          </w:rPr>
          <w:t>HHD</w:t>
        </w:r>
        <w:r>
          <w:rPr>
            <w:rStyle w:val="Link"/>
            <w:color w:val="055FC1"/>
            <w:spacing w:val="-1"/>
            <w:sz w:val="22"/>
            <w:szCs w:val="22"/>
          </w:rPr>
          <w:t xml:space="preserve"> </w:t>
        </w:r>
        <w:r>
          <w:rPr>
            <w:rStyle w:val="Hyperlink4"/>
          </w:rPr>
          <w:t>Guidelines</w:t>
        </w:r>
        <w:r>
          <w:rPr>
            <w:rStyle w:val="Link"/>
            <w:color w:val="055FC1"/>
            <w:sz w:val="22"/>
            <w:szCs w:val="22"/>
          </w:rPr>
          <w:t xml:space="preserve"> </w:t>
        </w:r>
        <w:r>
          <w:rPr>
            <w:rStyle w:val="Hyperlink4"/>
          </w:rPr>
          <w:t>webpage</w:t>
        </w:r>
      </w:hyperlink>
      <w:r w:rsidRPr="40CAFB3C">
        <w:rPr>
          <w:rStyle w:val="None"/>
          <w:rFonts w:eastAsia="Arial" w:cs="Arial"/>
          <w:color w:val="055FC1"/>
          <w:spacing w:val="3"/>
          <w:sz w:val="22"/>
          <w:szCs w:val="22"/>
        </w:rPr>
        <w:t xml:space="preserve"> </w:t>
      </w:r>
      <w:r w:rsidRPr="40CAFB3C">
        <w:rPr>
          <w:rStyle w:val="None"/>
          <w:rFonts w:eastAsia="Arial" w:cs="Arial"/>
          <w:sz w:val="22"/>
          <w:szCs w:val="22"/>
        </w:rPr>
        <w:t>(under</w:t>
      </w:r>
      <w:r w:rsidRPr="40CAFB3C">
        <w:rPr>
          <w:rStyle w:val="None"/>
          <w:rFonts w:eastAsia="Arial" w:cs="Arial"/>
          <w:spacing w:val="-6"/>
          <w:sz w:val="22"/>
          <w:szCs w:val="22"/>
        </w:rPr>
        <w:t xml:space="preserve"> </w:t>
      </w:r>
      <w:r w:rsidRPr="40CAFB3C">
        <w:rPr>
          <w:rStyle w:val="None"/>
          <w:rFonts w:eastAsia="Arial" w:cs="Arial"/>
          <w:spacing w:val="-5"/>
          <w:sz w:val="22"/>
          <w:szCs w:val="22"/>
        </w:rPr>
        <w:t>the</w:t>
      </w:r>
      <w:r w:rsidRPr="40CAFB3C">
        <w:rPr>
          <w:rStyle w:val="None"/>
          <w:rFonts w:eastAsia="Arial" w:cs="Arial"/>
          <w:i/>
          <w:iCs/>
          <w:spacing w:val="-3"/>
          <w:sz w:val="22"/>
          <w:szCs w:val="22"/>
        </w:rPr>
        <w:t xml:space="preserve"> Faculty</w:t>
      </w:r>
      <w:r w:rsidRPr="40CAFB3C">
        <w:rPr>
          <w:rStyle w:val="None"/>
          <w:rFonts w:eastAsia="Arial" w:cs="Arial"/>
          <w:i/>
          <w:iCs/>
          <w:sz w:val="22"/>
          <w:szCs w:val="22"/>
        </w:rPr>
        <w:t xml:space="preserve"> </w:t>
      </w:r>
      <w:r w:rsidRPr="40CAFB3C">
        <w:rPr>
          <w:rStyle w:val="None"/>
          <w:rFonts w:eastAsia="Arial" w:cs="Arial"/>
          <w:spacing w:val="-1"/>
          <w:sz w:val="22"/>
          <w:szCs w:val="22"/>
        </w:rPr>
        <w:t>category)</w:t>
      </w:r>
    </w:p>
    <w:p w14:paraId="06BF8386" w14:textId="1347AD79" w:rsidR="40CAFB3C" w:rsidRDefault="40CAFB3C" w:rsidP="40CAFB3C">
      <w:pPr>
        <w:pStyle w:val="BodyText"/>
        <w:rPr>
          <w:rFonts w:eastAsia="Arial" w:cs="Arial"/>
          <w:sz w:val="22"/>
          <w:szCs w:val="22"/>
        </w:rPr>
      </w:pPr>
    </w:p>
    <w:p w14:paraId="35866545" w14:textId="77777777" w:rsidR="00D760E5" w:rsidRDefault="158909CE">
      <w:pPr>
        <w:pStyle w:val="ListParagraph"/>
        <w:numPr>
          <w:ilvl w:val="0"/>
          <w:numId w:val="19"/>
        </w:numPr>
        <w:jc w:val="left"/>
        <w:rPr>
          <w:rFonts w:eastAsia="Arial" w:cs="Arial"/>
        </w:rPr>
      </w:pPr>
      <w:r w:rsidRPr="40CAFB3C">
        <w:rPr>
          <w:rStyle w:val="None"/>
          <w:rFonts w:eastAsia="Arial" w:cs="Arial"/>
        </w:rPr>
        <w:t>College</w:t>
      </w:r>
      <w:r w:rsidR="40CAFB3C" w:rsidRPr="40CAFB3C">
        <w:rPr>
          <w:rStyle w:val="None"/>
          <w:rFonts w:eastAsia="Arial" w:cs="Arial"/>
        </w:rPr>
        <w:t xml:space="preserve"> Level Review Committee</w:t>
      </w:r>
    </w:p>
    <w:p w14:paraId="5D5640A6" w14:textId="35F94EA4" w:rsidR="40CAFB3C" w:rsidRDefault="40CAFB3C" w:rsidP="40CAFB3C">
      <w:pPr>
        <w:pStyle w:val="ListParagraph"/>
        <w:rPr>
          <w:rFonts w:eastAsia="Arial" w:cs="Arial"/>
        </w:rPr>
      </w:pPr>
    </w:p>
    <w:p w14:paraId="39EC13BE" w14:textId="77777777" w:rsidR="00D760E5" w:rsidRDefault="40CAFB3C">
      <w:pPr>
        <w:pStyle w:val="ListParagraph"/>
        <w:numPr>
          <w:ilvl w:val="1"/>
          <w:numId w:val="23"/>
        </w:numPr>
        <w:jc w:val="left"/>
        <w:rPr>
          <w:rFonts w:eastAsia="Arial" w:cs="Arial"/>
        </w:rPr>
      </w:pPr>
      <w:r w:rsidRPr="40CAFB3C">
        <w:rPr>
          <w:rStyle w:val="None"/>
          <w:rFonts w:eastAsia="Arial" w:cs="Arial"/>
        </w:rPr>
        <w:t>Purpose</w:t>
      </w:r>
    </w:p>
    <w:p w14:paraId="650896E3" w14:textId="38F63773" w:rsidR="40CAFB3C" w:rsidRDefault="40CAFB3C" w:rsidP="40CAFB3C">
      <w:pPr>
        <w:pStyle w:val="ListParagraph"/>
        <w:rPr>
          <w:rFonts w:eastAsia="Arial" w:cs="Arial"/>
        </w:rPr>
      </w:pPr>
    </w:p>
    <w:p w14:paraId="27032A01" w14:textId="77777777" w:rsidR="00D760E5" w:rsidRDefault="40CAFB3C" w:rsidP="40CAFB3C">
      <w:pPr>
        <w:pStyle w:val="BodyText"/>
        <w:spacing w:after="120"/>
        <w:ind w:left="1273" w:right="30"/>
        <w:jc w:val="both"/>
        <w:rPr>
          <w:rStyle w:val="None"/>
          <w:rFonts w:eastAsia="Arial" w:cs="Arial"/>
          <w:sz w:val="22"/>
          <w:szCs w:val="22"/>
        </w:rPr>
      </w:pPr>
      <w:r w:rsidRPr="40CAFB3C">
        <w:rPr>
          <w:rStyle w:val="None"/>
          <w:rFonts w:eastAsia="Arial" w:cs="Arial"/>
          <w:sz w:val="22"/>
          <w:szCs w:val="22"/>
        </w:rPr>
        <w:t xml:space="preserve">It is the purpose of the College Promotion and Tenure Committee to assist the Dean, Unit Heads, peer promotion and tenure committees, and faculty at large in providing maximal opportunities for each faculty member to achieve his/her professional and personal goals within the University community in relation to the objectives of the </w:t>
      </w:r>
      <w:r w:rsidRPr="40CAFB3C">
        <w:rPr>
          <w:rStyle w:val="None"/>
          <w:rFonts w:eastAsia="Arial" w:cs="Arial"/>
          <w:sz w:val="22"/>
          <w:szCs w:val="22"/>
        </w:rPr>
        <w:lastRenderedPageBreak/>
        <w:t>University, the College and the Unit. The committee has the dual function of helping the Dean in appraising information regarding decisions on matters of promotion in rank and progress toward tenure and to propose means by which faculty development can be individually and collectively affected and thus facilitate each faculty member in meeting their professional goals.</w:t>
      </w:r>
    </w:p>
    <w:p w14:paraId="7F1FD7D7" w14:textId="77777777" w:rsidR="00D760E5" w:rsidRDefault="40CAFB3C">
      <w:pPr>
        <w:pStyle w:val="ListParagraph"/>
        <w:numPr>
          <w:ilvl w:val="1"/>
          <w:numId w:val="23"/>
        </w:numPr>
        <w:jc w:val="left"/>
        <w:rPr>
          <w:rStyle w:val="None"/>
          <w:rFonts w:eastAsia="Arial" w:cs="Arial"/>
        </w:rPr>
      </w:pPr>
      <w:r w:rsidRPr="40CAFB3C">
        <w:rPr>
          <w:rStyle w:val="None"/>
          <w:rFonts w:eastAsia="Arial" w:cs="Arial"/>
        </w:rPr>
        <w:t>Charge</w:t>
      </w:r>
    </w:p>
    <w:p w14:paraId="2768D42F" w14:textId="5C3A686A" w:rsidR="40CAFB3C" w:rsidRDefault="40CAFB3C" w:rsidP="40CAFB3C">
      <w:pPr>
        <w:pStyle w:val="ListParagraph"/>
        <w:rPr>
          <w:rFonts w:eastAsia="Arial" w:cs="Arial"/>
        </w:rPr>
      </w:pPr>
    </w:p>
    <w:p w14:paraId="5E00927E" w14:textId="77777777" w:rsidR="00D760E5" w:rsidRDefault="40CAFB3C">
      <w:pPr>
        <w:pStyle w:val="ListParagraph"/>
        <w:numPr>
          <w:ilvl w:val="0"/>
          <w:numId w:val="10"/>
        </w:numPr>
        <w:rPr>
          <w:rFonts w:eastAsia="Arial" w:cs="Arial"/>
        </w:rPr>
      </w:pPr>
      <w:r w:rsidRPr="40CAFB3C">
        <w:rPr>
          <w:rStyle w:val="None"/>
          <w:rFonts w:eastAsia="Arial" w:cs="Arial"/>
          <w:u w:val="single"/>
        </w:rPr>
        <w:t>Role of the Committee</w:t>
      </w:r>
      <w:r w:rsidRPr="40CAFB3C">
        <w:rPr>
          <w:rStyle w:val="None"/>
          <w:rFonts w:eastAsia="Arial" w:cs="Arial"/>
        </w:rPr>
        <w:t>. The charge to the College Promotion and Tenure Committee is to review all faculty and program contexts in which a member operates primarily to assist each faculty member, but also to advise (when appropriate) the Unit Head on ways to achieve the above goals. Such an assessment may be initiated by the College Committee itself, or by the Unit Head. The intent is not only that a continuing review be maintained but also that a systematic review be conducted at the appropriate intervals. The Committee is to consider in its review such matters as faculty members’ teaching, research, outreach, university and public service, and administrative loads, their aspirations and goals for their careers, and the ways in which they see their goals in relation to the goals of the Unit, the College, the campus at which they reside and the University.</w:t>
      </w:r>
    </w:p>
    <w:p w14:paraId="3DC3F3E2" w14:textId="1ABF047A" w:rsidR="40CAFB3C" w:rsidRDefault="40CAFB3C" w:rsidP="40CAFB3C">
      <w:pPr>
        <w:pStyle w:val="ListParagraph"/>
        <w:rPr>
          <w:rFonts w:eastAsia="Arial" w:cs="Arial"/>
        </w:rPr>
      </w:pPr>
    </w:p>
    <w:p w14:paraId="75140ECB" w14:textId="77777777" w:rsidR="00D760E5" w:rsidRDefault="40CAFB3C">
      <w:pPr>
        <w:pStyle w:val="ListParagraph"/>
        <w:numPr>
          <w:ilvl w:val="0"/>
          <w:numId w:val="10"/>
        </w:numPr>
        <w:rPr>
          <w:rFonts w:eastAsia="Arial" w:cs="Arial"/>
        </w:rPr>
      </w:pPr>
      <w:r w:rsidRPr="40CAFB3C">
        <w:rPr>
          <w:rStyle w:val="None"/>
          <w:rFonts w:eastAsia="Arial" w:cs="Arial"/>
          <w:u w:val="single"/>
        </w:rPr>
        <w:t>Independence of judgments.</w:t>
      </w:r>
      <w:r w:rsidRPr="40CAFB3C">
        <w:rPr>
          <w:rStyle w:val="None"/>
          <w:rFonts w:eastAsia="Arial" w:cs="Arial"/>
        </w:rPr>
        <w:t xml:space="preserve"> Although the role of the College Promotion and Tenure Committee is to be considered advisory to the Dean and to the faculty as individuals and as a group, with respect to issues related to tenure and promotion, its judgments of candidates being reviewed will be independent. It is intended, however, that the Committee be encouraged to consider and to propose means by which faculty development can be individually and collectively improved.</w:t>
      </w:r>
    </w:p>
    <w:p w14:paraId="6E1C5249" w14:textId="1B598514" w:rsidR="40CAFB3C" w:rsidRDefault="40CAFB3C" w:rsidP="40CAFB3C">
      <w:pPr>
        <w:pStyle w:val="ListParagraph"/>
        <w:rPr>
          <w:rFonts w:eastAsia="Arial" w:cs="Arial"/>
        </w:rPr>
      </w:pPr>
    </w:p>
    <w:p w14:paraId="6C4F3062" w14:textId="5286E3BD" w:rsidR="00D760E5" w:rsidRDefault="40CAFB3C" w:rsidP="40CAFB3C">
      <w:pPr>
        <w:pStyle w:val="BodyText"/>
        <w:spacing w:after="120"/>
        <w:ind w:left="1440"/>
        <w:jc w:val="both"/>
        <w:rPr>
          <w:rStyle w:val="None"/>
          <w:rFonts w:eastAsia="Arial" w:cs="Arial"/>
          <w:sz w:val="22"/>
          <w:szCs w:val="22"/>
        </w:rPr>
      </w:pPr>
      <w:r w:rsidRPr="40CAFB3C">
        <w:rPr>
          <w:rStyle w:val="None"/>
          <w:rFonts w:eastAsia="Arial" w:cs="Arial"/>
          <w:sz w:val="22"/>
          <w:szCs w:val="22"/>
        </w:rPr>
        <w:t>In addition, the committee is expected to base its judgment solely upon information contained in the candidate’s dossier along with other allowable materials as outlined in AC23 and this document. The dossier represents</w:t>
      </w:r>
      <w:r w:rsidRPr="40CAFB3C">
        <w:rPr>
          <w:rStyle w:val="None"/>
          <w:rFonts w:eastAsia="Arial" w:cs="Arial"/>
          <w:spacing w:val="-7"/>
          <w:sz w:val="22"/>
          <w:szCs w:val="22"/>
        </w:rPr>
        <w:t xml:space="preserve"> </w:t>
      </w:r>
      <w:r w:rsidRPr="40CAFB3C">
        <w:rPr>
          <w:rStyle w:val="None"/>
          <w:rFonts w:eastAsia="Arial" w:cs="Arial"/>
          <w:sz w:val="22"/>
          <w:szCs w:val="22"/>
        </w:rPr>
        <w:t xml:space="preserve">a snap-shot in time of the candidate’s </w:t>
      </w:r>
      <w:r w:rsidRPr="40CAFB3C">
        <w:rPr>
          <w:rStyle w:val="None"/>
          <w:rFonts w:eastAsia="Arial" w:cs="Arial"/>
          <w:i/>
          <w:iCs/>
          <w:sz w:val="22"/>
          <w:szCs w:val="22"/>
        </w:rPr>
        <w:t xml:space="preserve">cumulative </w:t>
      </w:r>
      <w:r w:rsidRPr="40CAFB3C">
        <w:rPr>
          <w:rStyle w:val="None"/>
          <w:rFonts w:eastAsia="Arial" w:cs="Arial"/>
          <w:sz w:val="22"/>
          <w:szCs w:val="22"/>
        </w:rPr>
        <w:t>work.</w:t>
      </w:r>
    </w:p>
    <w:p w14:paraId="21E6942A" w14:textId="37D1C818" w:rsidR="00D760E5" w:rsidRPr="006065C3" w:rsidRDefault="40CAFB3C">
      <w:pPr>
        <w:pStyle w:val="Body"/>
        <w:numPr>
          <w:ilvl w:val="0"/>
          <w:numId w:val="10"/>
        </w:numPr>
        <w:jc w:val="both"/>
        <w:rPr>
          <w:rStyle w:val="None"/>
          <w:rFonts w:eastAsia="Arial" w:cs="Arial"/>
          <w:sz w:val="22"/>
          <w:szCs w:val="22"/>
        </w:rPr>
      </w:pPr>
      <w:r w:rsidRPr="006065C3">
        <w:rPr>
          <w:rStyle w:val="None"/>
          <w:rFonts w:eastAsia="Arial" w:cs="Arial"/>
          <w:sz w:val="22"/>
          <w:szCs w:val="22"/>
          <w:u w:val="single"/>
        </w:rPr>
        <w:t>Membership.</w:t>
      </w:r>
      <w:r w:rsidRPr="006065C3">
        <w:rPr>
          <w:rStyle w:val="None"/>
          <w:rFonts w:eastAsia="Arial" w:cs="Arial"/>
          <w:sz w:val="22"/>
          <w:szCs w:val="22"/>
        </w:rPr>
        <w:t xml:space="preserve"> The College Promotion and Tenure Committee shall consist of the following members: one member from each of the academic Units in the College and one additional member appointed by the dean. </w:t>
      </w:r>
      <w:r w:rsidRPr="006065C3">
        <w:rPr>
          <w:rStyle w:val="None"/>
          <w:sz w:val="22"/>
          <w:szCs w:val="22"/>
        </w:rPr>
        <w:t>Faculty members on leave of absence, including sabbatical leave, are prohibited from membership</w:t>
      </w:r>
      <w:r w:rsidR="74EA2315" w:rsidRPr="006065C3">
        <w:rPr>
          <w:rStyle w:val="None"/>
          <w:sz w:val="22"/>
          <w:szCs w:val="22"/>
        </w:rPr>
        <w:t>.</w:t>
      </w:r>
      <w:r w:rsidR="74EA2315" w:rsidRPr="006065C3">
        <w:rPr>
          <w:rStyle w:val="None"/>
          <w:rFonts w:eastAsia="Arial" w:cs="Arial"/>
          <w:sz w:val="22"/>
          <w:szCs w:val="22"/>
          <w:shd w:val="clear" w:color="auto" w:fill="FFFF00"/>
        </w:rPr>
        <w:t xml:space="preserve"> </w:t>
      </w:r>
      <w:r w:rsidRPr="006065C3">
        <w:rPr>
          <w:rStyle w:val="None"/>
          <w:rFonts w:eastAsia="Arial" w:cs="Arial"/>
          <w:sz w:val="22"/>
          <w:szCs w:val="22"/>
        </w:rPr>
        <w:t>In</w:t>
      </w:r>
      <w:r w:rsidRPr="006065C3">
        <w:rPr>
          <w:rStyle w:val="None"/>
          <w:rFonts w:eastAsia="Arial" w:cs="Arial"/>
          <w:spacing w:val="40"/>
          <w:sz w:val="22"/>
          <w:szCs w:val="22"/>
        </w:rPr>
        <w:t xml:space="preserve"> </w:t>
      </w:r>
      <w:r w:rsidRPr="006065C3">
        <w:rPr>
          <w:rStyle w:val="None"/>
          <w:rFonts w:eastAsia="Arial" w:cs="Arial"/>
          <w:sz w:val="22"/>
          <w:szCs w:val="22"/>
        </w:rPr>
        <w:t xml:space="preserve">situations when a faculty member is tenured in HHD but located at a campus other than University Park and being considered for promotion, the College Committee will also include one additional member selected by the dean from among the faculty who are located at campuses other than University Park, but who are tenured at University Park. When considering committee membership, units with tenured faculty at other campus locations may consider these individuals in selecting their unit’s representative to the college committee. Only tenured faculty at the rank of Associate or Full Professor are eligible for membership. Upon occasion, there may be a need for overlap in committee membership at the unit and college levels. Representatives to the College Committee, who previously participated in the Unit Committee recommendation of a candidate during the same review period, must abstain from participation in the College Committee’s discussion and vote of that </w:t>
      </w:r>
      <w:r w:rsidRPr="006065C3">
        <w:rPr>
          <w:rStyle w:val="None"/>
          <w:rFonts w:eastAsia="Arial" w:cs="Arial"/>
          <w:sz w:val="22"/>
          <w:szCs w:val="22"/>
        </w:rPr>
        <w:lastRenderedPageBreak/>
        <w:t xml:space="preserve">candidate. The reason for abstention will be noted in the College Committee’s evaluative statement. No Academic Administrator (Dean, Associate Dean, School Director or Department Head) who, by the nature of his/her administrative responsibility, is required to provide an independent evaluation may serve on this committee. The chair shall be appointed by the Dean from the committee membership.  </w:t>
      </w:r>
    </w:p>
    <w:p w14:paraId="61ED6CB7" w14:textId="4C6F0D98" w:rsidR="40CAFB3C" w:rsidRDefault="40CAFB3C" w:rsidP="40CAFB3C">
      <w:pPr>
        <w:pStyle w:val="Body"/>
        <w:rPr>
          <w:rFonts w:eastAsia="Arial" w:cs="Arial"/>
        </w:rPr>
      </w:pPr>
    </w:p>
    <w:p w14:paraId="363F8EBC" w14:textId="77777777" w:rsidR="00D760E5" w:rsidRDefault="40CAFB3C" w:rsidP="40CAFB3C">
      <w:pPr>
        <w:pStyle w:val="ListParagraph"/>
        <w:ind w:left="1440"/>
        <w:rPr>
          <w:rStyle w:val="None"/>
          <w:rFonts w:eastAsia="Arial" w:cs="Arial"/>
        </w:rPr>
      </w:pPr>
      <w:r w:rsidRPr="40CAFB3C">
        <w:rPr>
          <w:rStyle w:val="None"/>
          <w:rFonts w:eastAsia="Arial" w:cs="Arial"/>
        </w:rPr>
        <w:t>If the committee does not have a requisite number of members at a given rank to conduct a review, the Dean shall appoint an additional number at the appropriate rank to serve as a subcommittee such that at least five people serve as voting members on the subcommittee.</w:t>
      </w:r>
    </w:p>
    <w:p w14:paraId="4FBF1543" w14:textId="4E430239" w:rsidR="40CAFB3C" w:rsidRDefault="40CAFB3C" w:rsidP="40CAFB3C">
      <w:pPr>
        <w:pStyle w:val="ListParagraph"/>
        <w:rPr>
          <w:rFonts w:eastAsia="Arial" w:cs="Arial"/>
        </w:rPr>
      </w:pPr>
    </w:p>
    <w:p w14:paraId="10DD5E0D" w14:textId="77777777" w:rsidR="00D760E5" w:rsidRDefault="40CAFB3C">
      <w:pPr>
        <w:pStyle w:val="ListParagraph"/>
        <w:numPr>
          <w:ilvl w:val="1"/>
          <w:numId w:val="25"/>
        </w:numPr>
        <w:jc w:val="left"/>
        <w:rPr>
          <w:rFonts w:eastAsia="Arial" w:cs="Arial"/>
        </w:rPr>
      </w:pPr>
      <w:r w:rsidRPr="40CAFB3C">
        <w:rPr>
          <w:rStyle w:val="None"/>
          <w:rFonts w:eastAsia="Arial" w:cs="Arial"/>
        </w:rPr>
        <w:t>Operation</w:t>
      </w:r>
    </w:p>
    <w:p w14:paraId="76FE7852" w14:textId="516D2EC6" w:rsidR="40CAFB3C" w:rsidRDefault="40CAFB3C" w:rsidP="40CAFB3C">
      <w:pPr>
        <w:pStyle w:val="ListParagraph"/>
        <w:rPr>
          <w:rFonts w:eastAsia="Arial" w:cs="Arial"/>
        </w:rPr>
      </w:pPr>
    </w:p>
    <w:p w14:paraId="2E460E49" w14:textId="77777777" w:rsidR="00D760E5" w:rsidRPr="006065C3" w:rsidRDefault="40CAFB3C">
      <w:pPr>
        <w:pStyle w:val="ListParagraph"/>
        <w:numPr>
          <w:ilvl w:val="0"/>
          <w:numId w:val="9"/>
        </w:numPr>
        <w:rPr>
          <w:rStyle w:val="None"/>
          <w:rFonts w:eastAsia="Arial" w:cs="Arial"/>
        </w:rPr>
      </w:pPr>
      <w:r w:rsidRPr="40CAFB3C">
        <w:rPr>
          <w:rStyle w:val="None"/>
          <w:rFonts w:eastAsia="Arial" w:cs="Arial"/>
          <w:u w:val="single"/>
        </w:rPr>
        <w:t>Amenability.</w:t>
      </w:r>
      <w:r w:rsidRPr="40CAFB3C">
        <w:rPr>
          <w:rStyle w:val="None"/>
          <w:rFonts w:eastAsia="Arial" w:cs="Arial"/>
        </w:rPr>
        <w:t xml:space="preserve"> The Promotion and Tenure Committee shall operate within the provisions of University policy AC23, </w:t>
      </w:r>
      <w:r w:rsidRPr="40CAFB3C">
        <w:rPr>
          <w:rStyle w:val="None"/>
          <w:rFonts w:eastAsia="Arial" w:cs="Arial"/>
          <w:i/>
          <w:iCs/>
        </w:rPr>
        <w:t xml:space="preserve">The Administrative Guidelines to AC23, </w:t>
      </w:r>
      <w:r w:rsidRPr="40CAFB3C">
        <w:rPr>
          <w:rStyle w:val="None"/>
          <w:rFonts w:eastAsia="Arial" w:cs="Arial"/>
        </w:rPr>
        <w:t>and this document.</w:t>
      </w:r>
    </w:p>
    <w:p w14:paraId="184459F6" w14:textId="65198BE6" w:rsidR="40CAFB3C" w:rsidRDefault="40CAFB3C" w:rsidP="40CAFB3C">
      <w:pPr>
        <w:pStyle w:val="ListParagraph"/>
        <w:rPr>
          <w:rFonts w:eastAsia="Arial" w:cs="Arial"/>
        </w:rPr>
      </w:pPr>
    </w:p>
    <w:p w14:paraId="5D52A01B" w14:textId="18195EC0" w:rsidR="00D760E5" w:rsidRPr="006065C3" w:rsidRDefault="40CAFB3C">
      <w:pPr>
        <w:pStyle w:val="Body"/>
        <w:numPr>
          <w:ilvl w:val="0"/>
          <w:numId w:val="9"/>
        </w:numPr>
        <w:rPr>
          <w:rStyle w:val="None"/>
          <w:sz w:val="22"/>
          <w:szCs w:val="22"/>
        </w:rPr>
      </w:pPr>
      <w:r w:rsidRPr="006065C3">
        <w:rPr>
          <w:rStyle w:val="None"/>
          <w:rFonts w:eastAsia="Arial" w:cs="Arial"/>
          <w:sz w:val="22"/>
          <w:szCs w:val="22"/>
          <w:u w:val="single"/>
        </w:rPr>
        <w:t>Confidentiality.</w:t>
      </w:r>
      <w:r w:rsidRPr="006065C3">
        <w:rPr>
          <w:rStyle w:val="None"/>
          <w:rFonts w:eastAsia="Arial" w:cs="Arial"/>
          <w:sz w:val="22"/>
          <w:szCs w:val="22"/>
        </w:rPr>
        <w:t xml:space="preserve"> The Committee shall conduct its activities in a way that guarantees an individual’s right to privacy not only during the committee’s deliberations but forever thereafter. </w:t>
      </w:r>
      <w:r w:rsidRPr="006065C3">
        <w:rPr>
          <w:rStyle w:val="None"/>
          <w:sz w:val="22"/>
          <w:szCs w:val="22"/>
        </w:rPr>
        <w:t>Committee members should not retain any personal notes about promotion and tenure cases once the work of the committee has concluded.</w:t>
      </w:r>
    </w:p>
    <w:p w14:paraId="70B46D67" w14:textId="11BD9FB6" w:rsidR="40CAFB3C" w:rsidRDefault="40CAFB3C" w:rsidP="40CAFB3C">
      <w:pPr>
        <w:pStyle w:val="Body"/>
        <w:rPr>
          <w:rFonts w:eastAsia="Arial" w:cs="Arial"/>
          <w:sz w:val="22"/>
          <w:szCs w:val="22"/>
        </w:rPr>
      </w:pPr>
    </w:p>
    <w:p w14:paraId="4991A45E" w14:textId="6FD7C2D6" w:rsidR="00D760E5" w:rsidRDefault="40CAFB3C">
      <w:pPr>
        <w:pStyle w:val="ListParagraph"/>
        <w:numPr>
          <w:ilvl w:val="0"/>
          <w:numId w:val="9"/>
        </w:numPr>
        <w:rPr>
          <w:rFonts w:eastAsia="Arial" w:cs="Arial"/>
        </w:rPr>
      </w:pPr>
      <w:r w:rsidRPr="40CAFB3C">
        <w:rPr>
          <w:rStyle w:val="None"/>
          <w:rFonts w:eastAsia="Arial" w:cs="Arial"/>
          <w:u w:val="single"/>
        </w:rPr>
        <w:t>Voting restrictions.</w:t>
      </w:r>
      <w:r w:rsidRPr="40CAFB3C">
        <w:rPr>
          <w:rStyle w:val="None"/>
          <w:rFonts w:eastAsia="Arial" w:cs="Arial"/>
        </w:rPr>
        <w:t xml:space="preserve"> Only faculty of higher rank than the candidate may</w:t>
      </w:r>
      <w:r w:rsidRPr="40CAFB3C">
        <w:rPr>
          <w:rStyle w:val="None"/>
          <w:rFonts w:eastAsia="Arial" w:cs="Arial"/>
          <w:spacing w:val="-1"/>
        </w:rPr>
        <w:t xml:space="preserve"> </w:t>
      </w:r>
      <w:r w:rsidRPr="40CAFB3C">
        <w:rPr>
          <w:rStyle w:val="None"/>
          <w:rFonts w:eastAsia="Arial" w:cs="Arial"/>
        </w:rPr>
        <w:t>vote upon recommendations in regard to promotion.</w:t>
      </w:r>
      <w:r w:rsidR="006065C3">
        <w:rPr>
          <w:rStyle w:val="None"/>
          <w:rFonts w:eastAsia="Arial" w:cs="Arial"/>
        </w:rPr>
        <w:t xml:space="preserve"> </w:t>
      </w:r>
      <w:r w:rsidRPr="006065C3">
        <w:rPr>
          <w:rStyle w:val="None"/>
        </w:rPr>
        <w:t xml:space="preserve">If a member declares a conflict of interest they must recuse themselves from the vote. </w:t>
      </w:r>
      <w:r w:rsidRPr="40CAFB3C">
        <w:rPr>
          <w:rStyle w:val="None"/>
          <w:rFonts w:eastAsia="Arial" w:cs="Arial"/>
        </w:rPr>
        <w:t xml:space="preserve">  Members who are</w:t>
      </w:r>
      <w:r w:rsidRPr="40CAFB3C">
        <w:rPr>
          <w:rStyle w:val="None"/>
          <w:rFonts w:eastAsia="Arial" w:cs="Arial"/>
          <w:spacing w:val="-1"/>
        </w:rPr>
        <w:t xml:space="preserve"> </w:t>
      </w:r>
      <w:r w:rsidRPr="40CAFB3C">
        <w:rPr>
          <w:rStyle w:val="None"/>
          <w:rFonts w:eastAsia="Arial" w:cs="Arial"/>
        </w:rPr>
        <w:t>not eligible to vote shall not be present for the discussion of the case nor for the vote itself.</w:t>
      </w:r>
    </w:p>
    <w:p w14:paraId="16D61A22" w14:textId="14D816F0" w:rsidR="40CAFB3C" w:rsidRDefault="40CAFB3C" w:rsidP="40CAFB3C">
      <w:pPr>
        <w:pStyle w:val="ListParagraph"/>
        <w:rPr>
          <w:rFonts w:eastAsia="Arial" w:cs="Arial"/>
        </w:rPr>
      </w:pPr>
    </w:p>
    <w:p w14:paraId="459019EC" w14:textId="77777777" w:rsidR="00D760E5" w:rsidRDefault="40CAFB3C">
      <w:pPr>
        <w:pStyle w:val="ListParagraph"/>
        <w:numPr>
          <w:ilvl w:val="1"/>
          <w:numId w:val="27"/>
        </w:numPr>
        <w:jc w:val="left"/>
        <w:rPr>
          <w:rFonts w:eastAsia="Arial" w:cs="Arial"/>
        </w:rPr>
      </w:pPr>
      <w:r w:rsidRPr="40CAFB3C">
        <w:rPr>
          <w:rStyle w:val="None"/>
          <w:rFonts w:eastAsia="Arial" w:cs="Arial"/>
        </w:rPr>
        <w:t>The Review Cycle</w:t>
      </w:r>
    </w:p>
    <w:p w14:paraId="5A2EACA1" w14:textId="14A1BC07" w:rsidR="40CAFB3C" w:rsidRDefault="40CAFB3C" w:rsidP="40CAFB3C">
      <w:pPr>
        <w:pStyle w:val="ListParagraph"/>
        <w:rPr>
          <w:rFonts w:eastAsia="Arial" w:cs="Arial"/>
        </w:rPr>
      </w:pPr>
    </w:p>
    <w:p w14:paraId="0FA4A798" w14:textId="77777777" w:rsidR="00D760E5" w:rsidRDefault="40CAFB3C" w:rsidP="40CAFB3C">
      <w:pPr>
        <w:pStyle w:val="BodyText"/>
        <w:spacing w:after="120"/>
        <w:ind w:left="1540"/>
        <w:rPr>
          <w:rStyle w:val="None"/>
          <w:rFonts w:eastAsia="Arial" w:cs="Arial"/>
          <w:sz w:val="22"/>
          <w:szCs w:val="22"/>
        </w:rPr>
      </w:pPr>
      <w:r w:rsidRPr="40CAFB3C">
        <w:rPr>
          <w:rStyle w:val="None"/>
          <w:rFonts w:eastAsia="Arial" w:cs="Arial"/>
          <w:spacing w:val="-1"/>
          <w:sz w:val="22"/>
          <w:szCs w:val="22"/>
        </w:rPr>
        <w:t>See</w:t>
      </w:r>
      <w:r w:rsidRPr="40CAFB3C">
        <w:rPr>
          <w:rStyle w:val="None"/>
          <w:rFonts w:eastAsia="Arial" w:cs="Arial"/>
          <w:spacing w:val="-11"/>
          <w:sz w:val="22"/>
          <w:szCs w:val="22"/>
        </w:rPr>
        <w:t xml:space="preserve"> </w:t>
      </w:r>
      <w:r w:rsidRPr="40CAFB3C">
        <w:rPr>
          <w:rStyle w:val="None"/>
          <w:rFonts w:eastAsia="Arial" w:cs="Arial"/>
          <w:spacing w:val="-1"/>
          <w:sz w:val="22"/>
          <w:szCs w:val="22"/>
        </w:rPr>
        <w:t>College</w:t>
      </w:r>
      <w:r w:rsidRPr="40CAFB3C">
        <w:rPr>
          <w:rStyle w:val="None"/>
          <w:rFonts w:eastAsia="Arial" w:cs="Arial"/>
          <w:spacing w:val="-7"/>
          <w:sz w:val="22"/>
          <w:szCs w:val="22"/>
        </w:rPr>
        <w:t xml:space="preserve"> </w:t>
      </w:r>
      <w:r w:rsidRPr="40CAFB3C">
        <w:rPr>
          <w:rStyle w:val="None"/>
          <w:rFonts w:eastAsia="Arial" w:cs="Arial"/>
          <w:spacing w:val="-1"/>
          <w:sz w:val="22"/>
          <w:szCs w:val="22"/>
        </w:rPr>
        <w:t>Timetable</w:t>
      </w:r>
      <w:r w:rsidRPr="40CAFB3C">
        <w:rPr>
          <w:rStyle w:val="None"/>
          <w:rFonts w:eastAsia="Arial" w:cs="Arial"/>
          <w:spacing w:val="-9"/>
          <w:sz w:val="22"/>
          <w:szCs w:val="22"/>
        </w:rPr>
        <w:t xml:space="preserve"> </w:t>
      </w:r>
      <w:r w:rsidRPr="40CAFB3C">
        <w:rPr>
          <w:rStyle w:val="None"/>
          <w:rFonts w:eastAsia="Arial" w:cs="Arial"/>
          <w:spacing w:val="-1"/>
          <w:sz w:val="22"/>
          <w:szCs w:val="22"/>
        </w:rPr>
        <w:t>for</w:t>
      </w:r>
      <w:r w:rsidRPr="40CAFB3C">
        <w:rPr>
          <w:rStyle w:val="None"/>
          <w:rFonts w:eastAsia="Arial" w:cs="Arial"/>
          <w:spacing w:val="-7"/>
          <w:sz w:val="22"/>
          <w:szCs w:val="22"/>
        </w:rPr>
        <w:t xml:space="preserve"> </w:t>
      </w:r>
      <w:r w:rsidRPr="40CAFB3C">
        <w:rPr>
          <w:rStyle w:val="None"/>
          <w:rFonts w:eastAsia="Arial" w:cs="Arial"/>
          <w:spacing w:val="-1"/>
          <w:sz w:val="22"/>
          <w:szCs w:val="22"/>
        </w:rPr>
        <w:t>Promotion</w:t>
      </w:r>
      <w:r w:rsidRPr="40CAFB3C">
        <w:rPr>
          <w:rStyle w:val="None"/>
          <w:rFonts w:eastAsia="Arial" w:cs="Arial"/>
          <w:spacing w:val="-3"/>
          <w:sz w:val="22"/>
          <w:szCs w:val="22"/>
        </w:rPr>
        <w:t xml:space="preserve"> </w:t>
      </w:r>
      <w:r w:rsidRPr="40CAFB3C">
        <w:rPr>
          <w:rStyle w:val="None"/>
          <w:rFonts w:eastAsia="Arial" w:cs="Arial"/>
          <w:spacing w:val="-1"/>
          <w:sz w:val="22"/>
          <w:szCs w:val="22"/>
        </w:rPr>
        <w:t>and</w:t>
      </w:r>
      <w:r w:rsidRPr="40CAFB3C">
        <w:rPr>
          <w:rStyle w:val="None"/>
          <w:rFonts w:eastAsia="Arial" w:cs="Arial"/>
          <w:spacing w:val="-9"/>
          <w:sz w:val="22"/>
          <w:szCs w:val="22"/>
        </w:rPr>
        <w:t xml:space="preserve"> </w:t>
      </w:r>
      <w:r w:rsidRPr="40CAFB3C">
        <w:rPr>
          <w:rStyle w:val="None"/>
          <w:rFonts w:eastAsia="Arial" w:cs="Arial"/>
          <w:spacing w:val="-1"/>
          <w:sz w:val="22"/>
          <w:szCs w:val="22"/>
        </w:rPr>
        <w:t>Tenure</w:t>
      </w:r>
      <w:r w:rsidRPr="40CAFB3C">
        <w:rPr>
          <w:rStyle w:val="None"/>
          <w:rFonts w:eastAsia="Arial" w:cs="Arial"/>
          <w:sz w:val="22"/>
          <w:szCs w:val="22"/>
        </w:rPr>
        <w:t xml:space="preserve"> </w:t>
      </w:r>
      <w:r w:rsidRPr="40CAFB3C">
        <w:rPr>
          <w:rStyle w:val="None"/>
          <w:rFonts w:eastAsia="Arial" w:cs="Arial"/>
          <w:spacing w:val="-1"/>
          <w:sz w:val="22"/>
          <w:szCs w:val="22"/>
        </w:rPr>
        <w:t>Reviews</w:t>
      </w:r>
    </w:p>
    <w:p w14:paraId="43695B2C" w14:textId="6B722590" w:rsidR="40CAFB3C" w:rsidRDefault="40CAFB3C" w:rsidP="40CAFB3C">
      <w:pPr>
        <w:pStyle w:val="BodyText"/>
        <w:rPr>
          <w:rFonts w:eastAsia="Arial" w:cs="Arial"/>
        </w:rPr>
      </w:pPr>
    </w:p>
    <w:p w14:paraId="53821E05" w14:textId="77777777" w:rsidR="00D760E5" w:rsidRDefault="40CAFB3C">
      <w:pPr>
        <w:pStyle w:val="ListParagraph"/>
        <w:numPr>
          <w:ilvl w:val="0"/>
          <w:numId w:val="30"/>
        </w:numPr>
        <w:jc w:val="left"/>
        <w:rPr>
          <w:rFonts w:eastAsia="Arial" w:cs="Arial"/>
          <w:b/>
          <w:bCs/>
        </w:rPr>
      </w:pPr>
      <w:r w:rsidRPr="40CAFB3C">
        <w:rPr>
          <w:rStyle w:val="None"/>
          <w:rFonts w:eastAsia="Arial" w:cs="Arial"/>
          <w:b/>
          <w:bCs/>
        </w:rPr>
        <w:t>DOCUMENTATION</w:t>
      </w:r>
      <w:r w:rsidRPr="40CAFB3C">
        <w:rPr>
          <w:rStyle w:val="None"/>
          <w:rFonts w:eastAsia="Arial" w:cs="Arial"/>
          <w:b/>
          <w:bCs/>
          <w:spacing w:val="-1"/>
        </w:rPr>
        <w:t xml:space="preserve"> </w:t>
      </w:r>
      <w:r w:rsidRPr="40CAFB3C">
        <w:rPr>
          <w:rStyle w:val="None"/>
          <w:rFonts w:eastAsia="Arial" w:cs="Arial"/>
          <w:b/>
          <w:bCs/>
        </w:rPr>
        <w:t>REQUIREMENTS</w:t>
      </w:r>
    </w:p>
    <w:p w14:paraId="45536201" w14:textId="77777777" w:rsidR="00D760E5" w:rsidRDefault="40CAFB3C" w:rsidP="40CAFB3C">
      <w:pPr>
        <w:pStyle w:val="BodyText"/>
        <w:spacing w:after="120"/>
        <w:ind w:left="1179" w:hanging="369"/>
        <w:rPr>
          <w:rStyle w:val="None"/>
          <w:rFonts w:eastAsia="Arial" w:cs="Arial"/>
          <w:spacing w:val="-1"/>
          <w:sz w:val="22"/>
          <w:szCs w:val="22"/>
        </w:rPr>
      </w:pPr>
      <w:r w:rsidRPr="40CAFB3C">
        <w:rPr>
          <w:rStyle w:val="None"/>
          <w:rFonts w:eastAsia="Arial" w:cs="Arial"/>
          <w:sz w:val="22"/>
          <w:szCs w:val="22"/>
        </w:rPr>
        <w:t>A.</w:t>
      </w:r>
      <w:r w:rsidRPr="40CAFB3C">
        <w:rPr>
          <w:rStyle w:val="None"/>
          <w:rFonts w:eastAsia="Arial" w:cs="Arial"/>
          <w:spacing w:val="57"/>
          <w:sz w:val="22"/>
          <w:szCs w:val="22"/>
        </w:rPr>
        <w:t xml:space="preserve"> </w:t>
      </w:r>
      <w:r w:rsidRPr="40CAFB3C">
        <w:rPr>
          <w:rStyle w:val="None"/>
          <w:rFonts w:eastAsia="Arial" w:cs="Arial"/>
          <w:spacing w:val="-1"/>
          <w:sz w:val="22"/>
          <w:szCs w:val="22"/>
        </w:rPr>
        <w:t>General</w:t>
      </w:r>
    </w:p>
    <w:p w14:paraId="7A17F9EB" w14:textId="77777777" w:rsidR="00D760E5" w:rsidRDefault="40CAFB3C">
      <w:pPr>
        <w:pStyle w:val="ListParagraph"/>
        <w:numPr>
          <w:ilvl w:val="1"/>
          <w:numId w:val="29"/>
        </w:numPr>
        <w:rPr>
          <w:rFonts w:eastAsia="Arial" w:cs="Arial"/>
        </w:rPr>
      </w:pPr>
      <w:r w:rsidRPr="40CAFB3C">
        <w:rPr>
          <w:rStyle w:val="None"/>
          <w:rFonts w:eastAsia="Arial" w:cs="Arial"/>
          <w:u w:val="single"/>
        </w:rPr>
        <w:t>Responsibility for preparation of dossier.</w:t>
      </w:r>
      <w:r w:rsidRPr="40CAFB3C">
        <w:rPr>
          <w:rStyle w:val="None"/>
          <w:rFonts w:eastAsia="Arial" w:cs="Arial"/>
        </w:rPr>
        <w:t xml:space="preserve"> A dossier that outlines</w:t>
      </w:r>
      <w:r w:rsidRPr="40CAFB3C">
        <w:rPr>
          <w:rStyle w:val="None"/>
          <w:rFonts w:eastAsia="Arial" w:cs="Arial"/>
          <w:spacing w:val="-1"/>
        </w:rPr>
        <w:t xml:space="preserve"> </w:t>
      </w:r>
      <w:r w:rsidRPr="40CAFB3C">
        <w:rPr>
          <w:rStyle w:val="None"/>
          <w:rFonts w:eastAsia="Arial" w:cs="Arial"/>
        </w:rPr>
        <w:t>the accomplishments of the candidate will be prepared each time the candidate is reviewed for promotion or tenure. The dossier preparation is the responsibility of the Unit Head; the ultimate responsibility for correct format is the Dean’s. The candidate and the Unit Head will supply the basic, factual information to be included in the dossier.</w:t>
      </w:r>
    </w:p>
    <w:p w14:paraId="2BA2D3D8" w14:textId="642A3DB2" w:rsidR="40CAFB3C" w:rsidRDefault="40CAFB3C" w:rsidP="40CAFB3C">
      <w:pPr>
        <w:pStyle w:val="ListParagraph"/>
        <w:rPr>
          <w:rFonts w:eastAsia="Arial" w:cs="Arial"/>
        </w:rPr>
      </w:pPr>
    </w:p>
    <w:p w14:paraId="3A352F58" w14:textId="77777777" w:rsidR="00D760E5" w:rsidRDefault="40CAFB3C">
      <w:pPr>
        <w:pStyle w:val="ListParagraph"/>
        <w:numPr>
          <w:ilvl w:val="1"/>
          <w:numId w:val="31"/>
        </w:numPr>
        <w:rPr>
          <w:rFonts w:eastAsia="Arial" w:cs="Arial"/>
        </w:rPr>
      </w:pPr>
      <w:r w:rsidRPr="40CAFB3C">
        <w:rPr>
          <w:rStyle w:val="None"/>
          <w:rFonts w:eastAsia="Arial" w:cs="Arial"/>
          <w:u w:val="single"/>
        </w:rPr>
        <w:t>Content of the dossier</w:t>
      </w:r>
      <w:r w:rsidRPr="40CAFB3C">
        <w:rPr>
          <w:rStyle w:val="None"/>
          <w:rFonts w:eastAsia="Arial" w:cs="Arial"/>
        </w:rPr>
        <w:t>. It is expected that the candidate will assist</w:t>
      </w:r>
      <w:r w:rsidRPr="40CAFB3C">
        <w:rPr>
          <w:rStyle w:val="None"/>
          <w:rFonts w:eastAsia="Arial" w:cs="Arial"/>
          <w:spacing w:val="-1"/>
        </w:rPr>
        <w:t xml:space="preserve"> </w:t>
      </w:r>
      <w:r w:rsidRPr="40CAFB3C">
        <w:rPr>
          <w:rStyle w:val="None"/>
          <w:rFonts w:eastAsia="Arial" w:cs="Arial"/>
        </w:rPr>
        <w:t xml:space="preserve">in providing </w:t>
      </w:r>
      <w:r w:rsidRPr="40CAFB3C">
        <w:rPr>
          <w:rStyle w:val="None"/>
          <w:rFonts w:eastAsia="Arial" w:cs="Arial"/>
        </w:rPr>
        <w:lastRenderedPageBreak/>
        <w:t xml:space="preserve">the relevant information requested in each section of the dossier. Dossiers will be organized in a prescribed format as described in full in the current </w:t>
      </w:r>
      <w:r w:rsidRPr="40CAFB3C">
        <w:rPr>
          <w:rStyle w:val="None"/>
          <w:rFonts w:eastAsia="Arial" w:cs="Arial"/>
          <w:i/>
          <w:iCs/>
        </w:rPr>
        <w:t xml:space="preserve">AC23 Administrative Guidelines </w:t>
      </w:r>
      <w:r w:rsidRPr="40CAFB3C">
        <w:rPr>
          <w:rStyle w:val="None"/>
          <w:rFonts w:eastAsia="Arial" w:cs="Arial"/>
        </w:rPr>
        <w:t>following the three major areas of evaluation. A substantive description of each of the three areas is presented here. Detailed criteria for each area may be found in the guidelines for each unit. It should be noted that, for faculty located at campuses other than University Park, but who retain tenure at University Park, the evaluation criteria in each of the three areas shall be applied in light of the mission and work assignments at their particular location.</w:t>
      </w:r>
    </w:p>
    <w:p w14:paraId="0D74D8F1" w14:textId="0EBEFC10" w:rsidR="40CAFB3C" w:rsidRDefault="40CAFB3C" w:rsidP="40CAFB3C">
      <w:pPr>
        <w:pStyle w:val="ListParagraph"/>
        <w:rPr>
          <w:rFonts w:eastAsia="Arial" w:cs="Arial"/>
        </w:rPr>
      </w:pPr>
    </w:p>
    <w:p w14:paraId="770F5EF6" w14:textId="4AED1E20" w:rsidR="00D760E5" w:rsidRDefault="1E4050B3">
      <w:pPr>
        <w:pStyle w:val="ListParagraph"/>
        <w:numPr>
          <w:ilvl w:val="2"/>
          <w:numId w:val="15"/>
        </w:numPr>
        <w:jc w:val="left"/>
        <w:rPr>
          <w:rFonts w:eastAsia="Arial" w:cs="Arial"/>
        </w:rPr>
      </w:pPr>
      <w:r w:rsidRPr="40CAFB3C">
        <w:rPr>
          <w:rStyle w:val="None"/>
          <w:rFonts w:eastAsia="Arial" w:cs="Arial"/>
        </w:rPr>
        <w:t xml:space="preserve">  </w:t>
      </w:r>
      <w:r w:rsidR="40CAFB3C" w:rsidRPr="40CAFB3C">
        <w:rPr>
          <w:rStyle w:val="None"/>
          <w:rFonts w:eastAsia="Arial" w:cs="Arial"/>
        </w:rPr>
        <w:t>The Scholarship of Teaching and Learning</w:t>
      </w:r>
    </w:p>
    <w:p w14:paraId="50877656" w14:textId="7AD10EF9" w:rsidR="40CAFB3C" w:rsidRDefault="40CAFB3C" w:rsidP="40CAFB3C">
      <w:pPr>
        <w:pStyle w:val="ListParagraph"/>
        <w:rPr>
          <w:rFonts w:eastAsia="Arial" w:cs="Arial"/>
        </w:rPr>
      </w:pPr>
    </w:p>
    <w:p w14:paraId="771D3E9E" w14:textId="77777777" w:rsidR="00D760E5" w:rsidRDefault="40CAFB3C">
      <w:pPr>
        <w:pStyle w:val="Body"/>
        <w:numPr>
          <w:ilvl w:val="0"/>
          <w:numId w:val="8"/>
        </w:numPr>
        <w:jc w:val="both"/>
        <w:rPr>
          <w:rFonts w:eastAsia="Arial" w:cs="Arial"/>
          <w:sz w:val="22"/>
          <w:szCs w:val="22"/>
        </w:rPr>
      </w:pPr>
      <w:r w:rsidRPr="40CAFB3C">
        <w:rPr>
          <w:rStyle w:val="None"/>
          <w:rFonts w:eastAsia="Arial" w:cs="Arial"/>
          <w:sz w:val="22"/>
          <w:szCs w:val="22"/>
        </w:rPr>
        <w:t>All of a candidate’s professional responsibilities in the scholarship</w:t>
      </w:r>
      <w:r w:rsidRPr="40CAFB3C">
        <w:rPr>
          <w:rStyle w:val="None"/>
          <w:rFonts w:eastAsia="Arial" w:cs="Arial"/>
          <w:spacing w:val="-1"/>
          <w:sz w:val="22"/>
          <w:szCs w:val="22"/>
        </w:rPr>
        <w:t xml:space="preserve"> </w:t>
      </w:r>
      <w:r w:rsidRPr="40CAFB3C">
        <w:rPr>
          <w:rStyle w:val="None"/>
          <w:rFonts w:eastAsia="Arial" w:cs="Arial"/>
          <w:sz w:val="22"/>
          <w:szCs w:val="22"/>
        </w:rPr>
        <w:t>of teaching and learning (including resident and online instruction, independent study, membership on and leadership of undergraduate and graduate thesis and dissertation committees, academic and career advising with students, course and curriculum development, design and delivery of co-curricular activities, and other activities related to these responsibilities) will be considered by department and college committees, unit head, and the Dean to evaluate the candidate within the context of the candidate’s workload assignment. Although some level of engagement in undergraduate teaching and learning is expected of all candidates, there is no expected or ideal ratio of undergraduate to graduate level teaching engagement, and this ratio will vary based on department needs and candidate’s expertise.</w:t>
      </w:r>
    </w:p>
    <w:p w14:paraId="0463E7B5" w14:textId="07BE7EF1" w:rsidR="40CAFB3C" w:rsidRDefault="40CAFB3C" w:rsidP="40CAFB3C">
      <w:pPr>
        <w:pStyle w:val="Body"/>
        <w:rPr>
          <w:rFonts w:eastAsia="Arial" w:cs="Arial"/>
        </w:rPr>
      </w:pPr>
    </w:p>
    <w:p w14:paraId="74041D4B" w14:textId="77777777" w:rsidR="00D760E5" w:rsidRDefault="40CAFB3C">
      <w:pPr>
        <w:pStyle w:val="ListParagraph"/>
        <w:numPr>
          <w:ilvl w:val="0"/>
          <w:numId w:val="8"/>
        </w:numPr>
        <w:rPr>
          <w:rFonts w:eastAsia="Arial" w:cs="Arial"/>
        </w:rPr>
      </w:pPr>
      <w:r w:rsidRPr="40CAFB3C">
        <w:rPr>
          <w:rStyle w:val="None"/>
          <w:rFonts w:eastAsia="Arial" w:cs="Arial"/>
        </w:rPr>
        <w:t>Evaluation shall focus on the most recent 5 years, unless the faculty member was reviewed more recently, in which case reviews should include information from the time of the prior review forward.</w:t>
      </w:r>
    </w:p>
    <w:p w14:paraId="0E2742E2" w14:textId="7F8D8AC3" w:rsidR="40CAFB3C" w:rsidRDefault="40CAFB3C" w:rsidP="40CAFB3C">
      <w:pPr>
        <w:pStyle w:val="ListParagraph"/>
        <w:rPr>
          <w:rFonts w:eastAsia="Arial" w:cs="Arial"/>
        </w:rPr>
      </w:pPr>
    </w:p>
    <w:p w14:paraId="2791CCCD" w14:textId="77777777" w:rsidR="00D760E5" w:rsidRDefault="40CAFB3C">
      <w:pPr>
        <w:pStyle w:val="ListParagraph"/>
        <w:numPr>
          <w:ilvl w:val="0"/>
          <w:numId w:val="8"/>
        </w:numPr>
        <w:ind w:right="30"/>
        <w:rPr>
          <w:rFonts w:eastAsia="Arial" w:cs="Arial"/>
        </w:rPr>
      </w:pPr>
      <w:r w:rsidRPr="40CAFB3C">
        <w:rPr>
          <w:rStyle w:val="None"/>
          <w:rFonts w:eastAsia="Arial" w:cs="Arial"/>
        </w:rPr>
        <w:t>Evaluation shall rely upon systematic, theoretically sound and impartial evidence gathered from student and peer observations of classroom instruction as well as alternative assessments completed in accordance with department guidelines for the professional development and guidance of its faculty.</w:t>
      </w:r>
      <w:bookmarkStart w:id="0" w:name="_Hlk32754549"/>
      <w:r w:rsidRPr="40CAFB3C">
        <w:rPr>
          <w:rStyle w:val="None"/>
          <w:rFonts w:eastAsia="Arial" w:cs="Arial"/>
        </w:rPr>
        <w:t xml:space="preserve"> Information to be considered with respect to this portion of the scholarship shall include:</w:t>
      </w:r>
    </w:p>
    <w:p w14:paraId="0D91EBA5" w14:textId="744BA5C5" w:rsidR="40CAFB3C" w:rsidRDefault="40CAFB3C" w:rsidP="40CAFB3C">
      <w:pPr>
        <w:pStyle w:val="ListParagraph"/>
        <w:rPr>
          <w:rFonts w:eastAsia="Arial" w:cs="Arial"/>
        </w:rPr>
      </w:pPr>
    </w:p>
    <w:p w14:paraId="4ACC1E3D" w14:textId="5A9E3460" w:rsidR="00D760E5" w:rsidRDefault="40CAFB3C" w:rsidP="40CAFB3C">
      <w:pPr>
        <w:ind w:left="2160" w:right="30"/>
        <w:rPr>
          <w:rStyle w:val="None"/>
          <w:rFonts w:ascii="Arial" w:eastAsia="Arial" w:hAnsi="Arial" w:cs="Arial"/>
          <w:sz w:val="22"/>
          <w:szCs w:val="22"/>
        </w:rPr>
      </w:pPr>
      <w:r w:rsidRPr="40CAFB3C">
        <w:rPr>
          <w:rStyle w:val="None"/>
          <w:rFonts w:ascii="Arial" w:eastAsia="Arial" w:hAnsi="Arial" w:cs="Arial"/>
          <w:sz w:val="22"/>
          <w:szCs w:val="22"/>
        </w:rPr>
        <w:t>a.</w:t>
      </w:r>
      <w:bookmarkEnd w:id="0"/>
      <w:r w:rsidRPr="40CAFB3C">
        <w:rPr>
          <w:rStyle w:val="None"/>
          <w:rFonts w:ascii="Arial" w:eastAsia="Arial" w:hAnsi="Arial" w:cs="Arial"/>
          <w:sz w:val="22"/>
          <w:szCs w:val="22"/>
        </w:rPr>
        <w:t xml:space="preserve"> </w:t>
      </w:r>
      <w:bookmarkStart w:id="1" w:name="_Hlk32754483"/>
      <w:r w:rsidRPr="40CAFB3C">
        <w:rPr>
          <w:rStyle w:val="None"/>
          <w:rFonts w:ascii="Arial" w:eastAsia="Arial" w:hAnsi="Arial" w:cs="Arial"/>
          <w:sz w:val="22"/>
          <w:szCs w:val="22"/>
        </w:rPr>
        <w:t xml:space="preserve">A listing of courses taught in any format, including enrollment, SRTE response rates, and median and mode “quality of course” (prior to fall 2020 or “how well course increased your understanding” (fall 2020 and beyond) and “quality of instructor” (prior to fall 2020) or “how well instructor promoted a meaningful learning experience” (fall 2020 and beyond ratings from the Student Ratings of Teaching Effectiveness (SRTEs). Enrollment and response rates will </w:t>
      </w:r>
      <w:r w:rsidRPr="40CAFB3C">
        <w:rPr>
          <w:rStyle w:val="None"/>
          <w:rFonts w:ascii="Arial" w:eastAsia="Arial" w:hAnsi="Arial" w:cs="Arial"/>
          <w:sz w:val="22"/>
          <w:szCs w:val="22"/>
          <w:u w:val="single"/>
        </w:rPr>
        <w:t>not</w:t>
      </w:r>
      <w:r w:rsidRPr="40CAFB3C">
        <w:rPr>
          <w:rStyle w:val="None"/>
          <w:rFonts w:ascii="Arial" w:eastAsia="Arial" w:hAnsi="Arial" w:cs="Arial"/>
          <w:sz w:val="22"/>
          <w:szCs w:val="22"/>
        </w:rPr>
        <w:t xml:space="preserve"> be used in and of themselves as measures of teaching effectiveness but can be important contextual factors when considering other metrics and should be included.  More guidance on SRTE inclusion based on semester is provided below:</w:t>
      </w:r>
      <w:bookmarkEnd w:id="1"/>
    </w:p>
    <w:p w14:paraId="5F5AEA66" w14:textId="2747A09E" w:rsidR="00D760E5" w:rsidRDefault="00D760E5" w:rsidP="40CAFB3C">
      <w:pPr>
        <w:rPr>
          <w:rFonts w:ascii="Arial" w:eastAsia="Arial" w:hAnsi="Arial" w:cs="Arial"/>
        </w:rPr>
      </w:pPr>
    </w:p>
    <w:p w14:paraId="2CE8EB2E" w14:textId="77777777" w:rsidR="00D760E5" w:rsidRDefault="40CAFB3C" w:rsidP="40CAFB3C">
      <w:pPr>
        <w:ind w:left="1350" w:right="1265"/>
        <w:rPr>
          <w:rFonts w:ascii="Arial" w:eastAsia="Arial" w:hAnsi="Arial" w:cs="Arial"/>
          <w:b/>
          <w:bCs/>
          <w:sz w:val="22"/>
          <w:szCs w:val="22"/>
        </w:rPr>
      </w:pPr>
      <w:r w:rsidRPr="40CAFB3C">
        <w:rPr>
          <w:rStyle w:val="None"/>
          <w:rFonts w:ascii="Arial" w:eastAsia="Arial" w:hAnsi="Arial" w:cs="Arial"/>
          <w:sz w:val="22"/>
          <w:szCs w:val="22"/>
        </w:rPr>
        <w:t xml:space="preserve">Spring 2021 semester and semesters beyond: </w:t>
      </w:r>
    </w:p>
    <w:p w14:paraId="2D930471" w14:textId="163466D9" w:rsidR="40CAFB3C" w:rsidRDefault="40CAFB3C" w:rsidP="40CAFB3C"/>
    <w:p w14:paraId="2FE855E6" w14:textId="77777777" w:rsidR="00D760E5" w:rsidRDefault="40CAFB3C">
      <w:pPr>
        <w:pStyle w:val="ListParagraph"/>
        <w:numPr>
          <w:ilvl w:val="0"/>
          <w:numId w:val="35"/>
        </w:numPr>
        <w:ind w:right="989"/>
        <w:rPr>
          <w:rFonts w:eastAsia="Arial" w:cs="Arial"/>
        </w:rPr>
      </w:pPr>
      <w:r w:rsidRPr="40CAFB3C">
        <w:rPr>
          <w:rStyle w:val="None"/>
          <w:rFonts w:eastAsia="Arial" w:cs="Arial"/>
        </w:rPr>
        <w:t xml:space="preserve">Short-form SRTEs are included. </w:t>
      </w:r>
    </w:p>
    <w:p w14:paraId="79F67A80" w14:textId="36A9DA4E" w:rsidR="40CAFB3C" w:rsidRDefault="40CAFB3C" w:rsidP="40CAFB3C">
      <w:pPr>
        <w:pStyle w:val="ListParagraph"/>
      </w:pPr>
    </w:p>
    <w:p w14:paraId="05DB30A8" w14:textId="77777777" w:rsidR="00D760E5" w:rsidRDefault="40CAFB3C" w:rsidP="40CAFB3C">
      <w:pPr>
        <w:ind w:left="720" w:firstLine="720"/>
        <w:rPr>
          <w:rFonts w:ascii="Arial" w:eastAsia="Arial" w:hAnsi="Arial" w:cs="Arial"/>
          <w:sz w:val="22"/>
          <w:szCs w:val="22"/>
        </w:rPr>
      </w:pPr>
      <w:r w:rsidRPr="40CAFB3C">
        <w:rPr>
          <w:rStyle w:val="None"/>
          <w:rFonts w:ascii="Arial" w:eastAsia="Arial" w:hAnsi="Arial" w:cs="Arial"/>
          <w:sz w:val="22"/>
          <w:szCs w:val="22"/>
        </w:rPr>
        <w:t>Fall 2020 semester:</w:t>
      </w:r>
    </w:p>
    <w:p w14:paraId="785B235F" w14:textId="43FD5267" w:rsidR="40CAFB3C" w:rsidRDefault="40CAFB3C" w:rsidP="40CAFB3C"/>
    <w:p w14:paraId="26894C86" w14:textId="77777777" w:rsidR="00D760E5" w:rsidRDefault="40CAFB3C">
      <w:pPr>
        <w:pStyle w:val="ListParagraph"/>
        <w:numPr>
          <w:ilvl w:val="0"/>
          <w:numId w:val="36"/>
        </w:numPr>
        <w:ind w:right="30"/>
        <w:rPr>
          <w:rFonts w:eastAsia="Arial" w:cs="Arial"/>
        </w:rPr>
      </w:pPr>
      <w:r w:rsidRPr="40CAFB3C">
        <w:rPr>
          <w:rStyle w:val="None"/>
          <w:rFonts w:eastAsia="Arial" w:cs="Arial"/>
        </w:rPr>
        <w:t>Inclusion of short-form SRTEs is at the faculty member’s discretion.  The omission of SRTEs does not provide evidence relevant to the assessment of teaching effectiveness.  The initial decision on inclusion of SRTEs for the first review after Fall 2020 will determine whether those SRTEs continue to be included in all subsequent reviews.</w:t>
      </w:r>
    </w:p>
    <w:p w14:paraId="72B97899" w14:textId="213D6D64" w:rsidR="40CAFB3C" w:rsidRDefault="40CAFB3C" w:rsidP="40CAFB3C">
      <w:pPr>
        <w:pStyle w:val="ListParagraph"/>
      </w:pPr>
    </w:p>
    <w:p w14:paraId="68793AF3" w14:textId="77777777" w:rsidR="00D760E5" w:rsidRDefault="40CAFB3C" w:rsidP="40CAFB3C">
      <w:pPr>
        <w:ind w:left="720" w:right="30" w:firstLine="720"/>
        <w:rPr>
          <w:rFonts w:ascii="Arial" w:eastAsia="Arial" w:hAnsi="Arial" w:cs="Arial"/>
          <w:sz w:val="22"/>
          <w:szCs w:val="22"/>
        </w:rPr>
      </w:pPr>
      <w:r w:rsidRPr="40CAFB3C">
        <w:rPr>
          <w:rStyle w:val="None"/>
          <w:rFonts w:ascii="Arial" w:eastAsia="Arial" w:hAnsi="Arial" w:cs="Arial"/>
          <w:sz w:val="22"/>
          <w:szCs w:val="22"/>
        </w:rPr>
        <w:t>Spring 2020 and summer 2020 semesters:</w:t>
      </w:r>
    </w:p>
    <w:p w14:paraId="289C3B63" w14:textId="4FA57814" w:rsidR="40CAFB3C" w:rsidRDefault="40CAFB3C" w:rsidP="40CAFB3C"/>
    <w:p w14:paraId="783CF381"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Inclusion of SRTE in the dossier is discouraged. Faculty including SRTEs should have acquired permission in advance through their academic unit leader and Dean.   The initial decision on inclusion of SRTEs for the first review after Fall 2020 will determine whether those SRTEs continue to be included in all subsequent reviews.  </w:t>
      </w:r>
    </w:p>
    <w:p w14:paraId="6E860377" w14:textId="5AD08C2E" w:rsidR="40CAFB3C" w:rsidRDefault="40CAFB3C" w:rsidP="40CAFB3C">
      <w:pPr>
        <w:ind w:left="1440" w:right="30"/>
        <w:rPr>
          <w:rStyle w:val="None"/>
          <w:rFonts w:ascii="Arial" w:eastAsia="Arial" w:hAnsi="Arial" w:cs="Arial"/>
          <w:sz w:val="22"/>
          <w:szCs w:val="22"/>
        </w:rPr>
      </w:pPr>
    </w:p>
    <w:p w14:paraId="6B3AF84E" w14:textId="77777777" w:rsidR="00D760E5" w:rsidRDefault="40CAFB3C" w:rsidP="40CAFB3C">
      <w:pPr>
        <w:ind w:left="1440" w:right="30"/>
        <w:rPr>
          <w:rStyle w:val="None"/>
          <w:rFonts w:ascii="Arial" w:eastAsia="Arial" w:hAnsi="Arial" w:cs="Arial"/>
          <w:sz w:val="22"/>
          <w:szCs w:val="22"/>
        </w:rPr>
      </w:pPr>
      <w:r w:rsidRPr="40CAFB3C">
        <w:rPr>
          <w:rStyle w:val="None"/>
          <w:rFonts w:ascii="Arial" w:eastAsia="Arial" w:hAnsi="Arial" w:cs="Arial"/>
          <w:sz w:val="22"/>
          <w:szCs w:val="22"/>
        </w:rPr>
        <w:t>Prior to Spring 2020:</w:t>
      </w:r>
    </w:p>
    <w:p w14:paraId="3F90A89A" w14:textId="1444CA83" w:rsidR="40CAFB3C" w:rsidRDefault="40CAFB3C" w:rsidP="40CAFB3C"/>
    <w:p w14:paraId="70918A93"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Units may have used different SRTE forms for different types of courses, including courses that differ by instructional format (e.g., online versus resident instruction), size of course, level of course, etc. </w:t>
      </w:r>
    </w:p>
    <w:p w14:paraId="39B3CA11" w14:textId="0FB1D782" w:rsidR="40CAFB3C" w:rsidRDefault="40CAFB3C" w:rsidP="40CAFB3C">
      <w:pPr>
        <w:pStyle w:val="ListParagraph"/>
      </w:pPr>
    </w:p>
    <w:p w14:paraId="724478C8"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Units may have selected items for the departmental core items in the SRTE for each form to be used. </w:t>
      </w:r>
    </w:p>
    <w:p w14:paraId="2DC2F46E" w14:textId="688EF25F" w:rsidR="40CAFB3C" w:rsidRDefault="40CAFB3C" w:rsidP="40CAFB3C">
      <w:pPr>
        <w:pStyle w:val="ListParagraph"/>
      </w:pPr>
    </w:p>
    <w:p w14:paraId="7C869696"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It was recommended that all sections of all courses be evaluated through SRTEs. </w:t>
      </w:r>
    </w:p>
    <w:p w14:paraId="54C5AECE" w14:textId="0BE42E16" w:rsidR="40CAFB3C" w:rsidRDefault="40CAFB3C" w:rsidP="40CAFB3C">
      <w:pPr>
        <w:pStyle w:val="ListParagraph"/>
      </w:pPr>
    </w:p>
    <w:p w14:paraId="462A2E47" w14:textId="77777777" w:rsidR="00D760E5" w:rsidRDefault="40CAFB3C">
      <w:pPr>
        <w:pStyle w:val="ListParagraph"/>
        <w:numPr>
          <w:ilvl w:val="0"/>
          <w:numId w:val="37"/>
        </w:numPr>
        <w:ind w:right="30"/>
        <w:rPr>
          <w:rFonts w:eastAsia="Arial" w:cs="Arial"/>
        </w:rPr>
      </w:pPr>
      <w:r w:rsidRPr="40CAFB3C">
        <w:rPr>
          <w:rStyle w:val="None"/>
          <w:rFonts w:eastAsia="Arial" w:cs="Arial"/>
        </w:rPr>
        <w:t xml:space="preserve"> A unit head and faculty member may have agreed not to collect SRTEs for a specific reason (e.g., to protect student anonymity in small sections, in an experimental or temporary course). Such agreement should be documented in writing.</w:t>
      </w:r>
    </w:p>
    <w:p w14:paraId="6F63AA6B" w14:textId="5B8C933E" w:rsidR="40CAFB3C" w:rsidRDefault="40CAFB3C" w:rsidP="40CAFB3C">
      <w:pPr>
        <w:pStyle w:val="ListParagraph"/>
      </w:pPr>
    </w:p>
    <w:p w14:paraId="73F5C4A0" w14:textId="5577BE96" w:rsidR="40CAFB3C" w:rsidRDefault="40CAFB3C" w:rsidP="40CAFB3C">
      <w:pPr>
        <w:ind w:left="135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b.   At least one form of information gathered from peers (e.g., observation </w:t>
      </w:r>
      <w:r>
        <w:tab/>
      </w:r>
      <w:r>
        <w:tab/>
      </w:r>
      <w:r w:rsidR="02DE7BAA" w:rsidRPr="40CAFB3C">
        <w:rPr>
          <w:rStyle w:val="None"/>
          <w:rFonts w:ascii="Arial" w:eastAsia="Arial" w:hAnsi="Arial" w:cs="Arial"/>
          <w:sz w:val="22"/>
          <w:szCs w:val="22"/>
        </w:rPr>
        <w:t xml:space="preserve">      </w:t>
      </w:r>
      <w:r w:rsidRPr="40CAFB3C">
        <w:rPr>
          <w:rStyle w:val="None"/>
          <w:rFonts w:ascii="Arial" w:eastAsia="Arial" w:hAnsi="Arial" w:cs="Arial"/>
          <w:sz w:val="22"/>
          <w:szCs w:val="22"/>
        </w:rPr>
        <w:t>of</w:t>
      </w:r>
      <w:r w:rsidR="6296E07C" w:rsidRPr="40CAFB3C">
        <w:rPr>
          <w:rStyle w:val="None"/>
          <w:rFonts w:ascii="Arial" w:eastAsia="Arial" w:hAnsi="Arial" w:cs="Arial"/>
          <w:sz w:val="22"/>
          <w:szCs w:val="22"/>
        </w:rPr>
        <w:t xml:space="preserve"> </w:t>
      </w:r>
      <w:r w:rsidRPr="40CAFB3C">
        <w:rPr>
          <w:rStyle w:val="None"/>
          <w:rFonts w:ascii="Arial" w:eastAsia="Arial" w:hAnsi="Arial" w:cs="Arial"/>
          <w:sz w:val="22"/>
          <w:szCs w:val="22"/>
        </w:rPr>
        <w:t>classroom instruction, feedback on class materials for online o</w:t>
      </w:r>
      <w:r w:rsidR="71FD6F8C" w:rsidRPr="40CAFB3C">
        <w:rPr>
          <w:rStyle w:val="None"/>
          <w:rFonts w:ascii="Arial" w:eastAsia="Arial" w:hAnsi="Arial" w:cs="Arial"/>
          <w:sz w:val="22"/>
          <w:szCs w:val="22"/>
        </w:rPr>
        <w:t xml:space="preserve">r </w:t>
      </w:r>
      <w:r>
        <w:tab/>
      </w:r>
      <w:r w:rsidR="6BA54864" w:rsidRPr="40CAFB3C">
        <w:rPr>
          <w:rStyle w:val="None"/>
          <w:rFonts w:ascii="Arial" w:eastAsia="Arial" w:hAnsi="Arial" w:cs="Arial"/>
          <w:sz w:val="22"/>
          <w:szCs w:val="22"/>
        </w:rPr>
        <w:t xml:space="preserve">    </w:t>
      </w:r>
    </w:p>
    <w:p w14:paraId="54C12ECB" w14:textId="476229DD" w:rsidR="6BA54864" w:rsidRDefault="6BA54864" w:rsidP="40CAFB3C">
      <w:pPr>
        <w:ind w:left="135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       resident education). </w:t>
      </w:r>
    </w:p>
    <w:p w14:paraId="47D916D1" w14:textId="083FE0DF" w:rsidR="40CAFB3C" w:rsidRDefault="40CAFB3C" w:rsidP="40CAFB3C"/>
    <w:p w14:paraId="3A77A0DF" w14:textId="77777777" w:rsidR="00D760E5" w:rsidRDefault="40CAFB3C" w:rsidP="40CAFB3C">
      <w:pPr>
        <w:pStyle w:val="ListParagraph"/>
        <w:tabs>
          <w:tab w:val="clear" w:pos="1636"/>
          <w:tab w:val="left" w:pos="1800"/>
        </w:tabs>
        <w:ind w:left="2160" w:right="30"/>
        <w:rPr>
          <w:rStyle w:val="None"/>
          <w:rFonts w:eastAsia="Arial" w:cs="Arial"/>
        </w:rPr>
      </w:pPr>
      <w:r w:rsidRPr="40CAFB3C">
        <w:rPr>
          <w:rStyle w:val="None"/>
          <w:rFonts w:eastAsia="Arial" w:cs="Arial"/>
        </w:rPr>
        <w:t>It is recommended that peer observation and feedback be conducted at least annually for each faculty member during the provisional period and regularly after that period. Note that peer teaching observations were suspended in Spring 2020 and Summer 2020. The omission of a peer teaching observation for either of these two terms therefore does not provide evidence relevant to the assessment of teaching effectiveness.</w:t>
      </w:r>
    </w:p>
    <w:p w14:paraId="240879B9" w14:textId="23C103DA" w:rsidR="40CAFB3C" w:rsidRDefault="40CAFB3C" w:rsidP="40CAFB3C">
      <w:pPr>
        <w:pStyle w:val="ListParagraph"/>
        <w:tabs>
          <w:tab w:val="clear" w:pos="1636"/>
          <w:tab w:val="left" w:pos="1800"/>
        </w:tabs>
        <w:ind w:left="1440"/>
      </w:pPr>
    </w:p>
    <w:p w14:paraId="1F3ABA86" w14:textId="77777777" w:rsidR="00D760E5" w:rsidRDefault="40CAFB3C" w:rsidP="40CAFB3C">
      <w:pPr>
        <w:pStyle w:val="ListParagraph"/>
        <w:ind w:left="2160" w:right="30"/>
        <w:rPr>
          <w:rStyle w:val="None"/>
          <w:rFonts w:eastAsia="Arial" w:cs="Arial"/>
        </w:rPr>
      </w:pPr>
      <w:r w:rsidRPr="40CAFB3C">
        <w:rPr>
          <w:rStyle w:val="None"/>
          <w:rFonts w:eastAsia="Arial" w:cs="Arial"/>
        </w:rPr>
        <w:t>In arranging</w:t>
      </w:r>
      <w:r w:rsidRPr="40CAFB3C">
        <w:rPr>
          <w:rStyle w:val="None"/>
          <w:rFonts w:eastAsia="Arial" w:cs="Arial"/>
          <w:spacing w:val="-1"/>
        </w:rPr>
        <w:t xml:space="preserve"> </w:t>
      </w:r>
      <w:r w:rsidRPr="40CAFB3C">
        <w:rPr>
          <w:rStyle w:val="None"/>
          <w:rFonts w:eastAsia="Arial" w:cs="Arial"/>
        </w:rPr>
        <w:t>peer</w:t>
      </w:r>
      <w:r w:rsidRPr="40CAFB3C">
        <w:rPr>
          <w:rStyle w:val="None"/>
          <w:rFonts w:eastAsia="Arial" w:cs="Arial"/>
          <w:spacing w:val="-3"/>
        </w:rPr>
        <w:t xml:space="preserve"> </w:t>
      </w:r>
      <w:r w:rsidRPr="40CAFB3C">
        <w:rPr>
          <w:rStyle w:val="None"/>
          <w:rFonts w:eastAsia="Arial" w:cs="Arial"/>
        </w:rPr>
        <w:t>observation and</w:t>
      </w:r>
      <w:r w:rsidRPr="40CAFB3C">
        <w:rPr>
          <w:rStyle w:val="None"/>
          <w:rFonts w:eastAsia="Arial" w:cs="Arial"/>
          <w:spacing w:val="-1"/>
        </w:rPr>
        <w:t xml:space="preserve"> </w:t>
      </w:r>
      <w:r w:rsidRPr="40CAFB3C">
        <w:rPr>
          <w:rStyle w:val="None"/>
          <w:rFonts w:eastAsia="Arial" w:cs="Arial"/>
        </w:rPr>
        <w:t>feedback,</w:t>
      </w:r>
      <w:r w:rsidRPr="40CAFB3C">
        <w:rPr>
          <w:rStyle w:val="None"/>
          <w:rFonts w:eastAsia="Arial" w:cs="Arial"/>
          <w:spacing w:val="-1"/>
        </w:rPr>
        <w:t xml:space="preserve"> </w:t>
      </w:r>
      <w:r w:rsidRPr="40CAFB3C">
        <w:rPr>
          <w:rStyle w:val="None"/>
          <w:rFonts w:eastAsia="Arial" w:cs="Arial"/>
        </w:rPr>
        <w:t>best practices that units may consider include: observing and providing feedback on a variety of courses, using multiple faculty members to provide a breadth of information, and having at least one course observed multiple times, to provide</w:t>
      </w:r>
      <w:r w:rsidRPr="40CAFB3C">
        <w:rPr>
          <w:rStyle w:val="None"/>
          <w:rFonts w:eastAsia="Arial" w:cs="Arial"/>
          <w:spacing w:val="80"/>
        </w:rPr>
        <w:t xml:space="preserve"> </w:t>
      </w:r>
      <w:r w:rsidRPr="40CAFB3C">
        <w:rPr>
          <w:rStyle w:val="None"/>
          <w:rFonts w:eastAsia="Arial" w:cs="Arial"/>
        </w:rPr>
        <w:t>information on faculty response to peer and student feedback. Peer observation and feedback may consider a range of teaching activities, including, but not limited to the development of course materials,</w:t>
      </w:r>
      <w:r w:rsidRPr="40CAFB3C">
        <w:rPr>
          <w:rStyle w:val="None"/>
          <w:rFonts w:eastAsia="Arial" w:cs="Arial"/>
          <w:spacing w:val="40"/>
        </w:rPr>
        <w:t xml:space="preserve"> </w:t>
      </w:r>
      <w:r w:rsidRPr="40CAFB3C">
        <w:rPr>
          <w:rStyle w:val="None"/>
          <w:rFonts w:eastAsia="Arial" w:cs="Arial"/>
        </w:rPr>
        <w:t>advising, and student research collaboration and mentoring. The method of peer observation and feedback shall be determined by faculty in the unit and applied consistently. When used, all documentation associated with peer observation and feedback, not a summary created by an administrator, shall be included in the evaluation materials. Unless determined otherwise in the unit guidelines, peer observation and feedback are arranged by the unit head who can ask that they be conducted by any faculty member in the unit. Peer observation and feedback are intended to be a developmental opportunity for faculty, who can use the information to improve their teaching. Thus, they must be accessible in a timely manner to the faculty member being observed. Department and college committees, unit head and the Dean consider this information from observations, as well as any documented response of the candidate to these observations, to evaluate performance.</w:t>
      </w:r>
    </w:p>
    <w:p w14:paraId="63691DF6" w14:textId="03829EA5" w:rsidR="40CAFB3C" w:rsidRDefault="40CAFB3C" w:rsidP="40CAFB3C">
      <w:pPr>
        <w:pStyle w:val="ListParagraph"/>
      </w:pPr>
    </w:p>
    <w:p w14:paraId="2614C369" w14:textId="59B9BB0B" w:rsidR="00D760E5" w:rsidRDefault="40CAFB3C" w:rsidP="40CAFB3C">
      <w:pPr>
        <w:pStyle w:val="Body"/>
        <w:widowControl/>
        <w:spacing w:after="120"/>
        <w:ind w:left="2070"/>
        <w:jc w:val="both"/>
        <w:rPr>
          <w:rFonts w:eastAsia="Arial" w:cs="Arial"/>
          <w:sz w:val="22"/>
          <w:szCs w:val="22"/>
        </w:rPr>
      </w:pPr>
      <w:r w:rsidRPr="40CAFB3C">
        <w:rPr>
          <w:rStyle w:val="None"/>
          <w:rFonts w:eastAsia="Arial" w:cs="Arial"/>
          <w:sz w:val="22"/>
          <w:szCs w:val="22"/>
        </w:rPr>
        <w:t xml:space="preserve">c.  At least one additional form of information gathered from students </w:t>
      </w:r>
      <w:r w:rsidR="00000000">
        <w:tab/>
      </w:r>
      <w:r w:rsidRPr="40CAFB3C">
        <w:rPr>
          <w:rStyle w:val="None"/>
          <w:rFonts w:eastAsia="Arial" w:cs="Arial"/>
          <w:sz w:val="22"/>
          <w:szCs w:val="22"/>
        </w:rPr>
        <w:t xml:space="preserve">(e.g., summary of student comments from SRTEs, summary of formal </w:t>
      </w:r>
      <w:r w:rsidR="00000000">
        <w:tab/>
      </w:r>
      <w:r w:rsidRPr="40CAFB3C">
        <w:rPr>
          <w:rStyle w:val="None"/>
          <w:rFonts w:eastAsia="Arial" w:cs="Arial"/>
          <w:sz w:val="22"/>
          <w:szCs w:val="22"/>
        </w:rPr>
        <w:t>end-of- semester or exit surveys). A summary of comments from open-</w:t>
      </w:r>
      <w:r w:rsidR="00000000">
        <w:tab/>
      </w:r>
      <w:r w:rsidRPr="40CAFB3C">
        <w:rPr>
          <w:rStyle w:val="None"/>
          <w:rFonts w:eastAsia="Arial" w:cs="Arial"/>
          <w:sz w:val="22"/>
          <w:szCs w:val="22"/>
        </w:rPr>
        <w:t xml:space="preserve">ended items can be used to meet this requirement. However, a summary </w:t>
      </w:r>
      <w:r w:rsidR="00000000">
        <w:tab/>
      </w:r>
      <w:r w:rsidR="27CD4FBD" w:rsidRPr="40CAFB3C">
        <w:rPr>
          <w:rStyle w:val="None"/>
          <w:rFonts w:eastAsia="Arial" w:cs="Arial"/>
          <w:sz w:val="22"/>
          <w:szCs w:val="22"/>
        </w:rPr>
        <w:t>o</w:t>
      </w:r>
      <w:r w:rsidRPr="40CAFB3C">
        <w:rPr>
          <w:rStyle w:val="None"/>
          <w:rFonts w:eastAsia="Arial" w:cs="Arial"/>
          <w:sz w:val="22"/>
          <w:szCs w:val="22"/>
        </w:rPr>
        <w:t>f SRTE comments does not meet criteria for alternative assessment (see</w:t>
      </w:r>
      <w:r w:rsidR="7322DCE0" w:rsidRPr="40CAFB3C">
        <w:rPr>
          <w:rStyle w:val="None"/>
          <w:rFonts w:eastAsia="Arial" w:cs="Arial"/>
          <w:sz w:val="22"/>
          <w:szCs w:val="22"/>
        </w:rPr>
        <w:t xml:space="preserve"> </w:t>
      </w:r>
      <w:r w:rsidR="00000000">
        <w:tab/>
      </w:r>
      <w:r w:rsidRPr="40CAFB3C">
        <w:rPr>
          <w:rStyle w:val="None"/>
          <w:rFonts w:eastAsia="Arial" w:cs="Arial"/>
          <w:sz w:val="22"/>
          <w:szCs w:val="22"/>
        </w:rPr>
        <w:t>Section 4 below). If a summary of student comments from SRTEs are</w:t>
      </w:r>
      <w:r w:rsidR="484981F9" w:rsidRPr="40CAFB3C">
        <w:rPr>
          <w:rStyle w:val="None"/>
          <w:rFonts w:eastAsia="Arial" w:cs="Arial"/>
          <w:sz w:val="22"/>
          <w:szCs w:val="22"/>
        </w:rPr>
        <w:t xml:space="preserve"> </w:t>
      </w:r>
      <w:r w:rsidR="00000000">
        <w:tab/>
      </w:r>
      <w:r w:rsidR="5A085E3C" w:rsidRPr="40CAFB3C">
        <w:rPr>
          <w:rStyle w:val="None"/>
          <w:rFonts w:eastAsia="Arial" w:cs="Arial"/>
          <w:sz w:val="22"/>
          <w:szCs w:val="22"/>
        </w:rPr>
        <w:t>u</w:t>
      </w:r>
      <w:r w:rsidRPr="40CAFB3C">
        <w:rPr>
          <w:rStyle w:val="None"/>
          <w:rFonts w:eastAsia="Arial" w:cs="Arial"/>
          <w:sz w:val="22"/>
          <w:szCs w:val="22"/>
        </w:rPr>
        <w:t>sed, departments may present the evidence in narrative or tabular format. The information may be organized by relevant categories and subcategories (</w:t>
      </w:r>
      <w:proofErr w:type="spellStart"/>
      <w:r w:rsidRPr="40CAFB3C">
        <w:rPr>
          <w:rStyle w:val="None"/>
          <w:rFonts w:eastAsia="Arial" w:cs="Arial"/>
          <w:sz w:val="22"/>
          <w:szCs w:val="22"/>
        </w:rPr>
        <w:t>e.g.,strengths</w:t>
      </w:r>
      <w:proofErr w:type="spellEnd"/>
      <w:r w:rsidRPr="40CAFB3C">
        <w:rPr>
          <w:rStyle w:val="None"/>
          <w:rFonts w:eastAsia="Arial" w:cs="Arial"/>
          <w:sz w:val="22"/>
          <w:szCs w:val="22"/>
        </w:rPr>
        <w:t xml:space="preserve"> and weaknesses; organization, engagement,</w:t>
      </w:r>
      <w:r w:rsidRPr="40CAFB3C">
        <w:rPr>
          <w:rStyle w:val="None"/>
          <w:rFonts w:eastAsia="Arial" w:cs="Arial"/>
          <w:spacing w:val="-9"/>
          <w:sz w:val="22"/>
          <w:szCs w:val="22"/>
        </w:rPr>
        <w:t xml:space="preserve"> </w:t>
      </w:r>
      <w:r w:rsidRPr="40CAFB3C">
        <w:rPr>
          <w:rStyle w:val="None"/>
          <w:rFonts w:eastAsia="Arial" w:cs="Arial"/>
          <w:sz w:val="22"/>
          <w:szCs w:val="22"/>
        </w:rPr>
        <w:t>and</w:t>
      </w:r>
      <w:r w:rsidRPr="40CAFB3C">
        <w:rPr>
          <w:rStyle w:val="None"/>
          <w:rFonts w:eastAsia="Arial" w:cs="Arial"/>
          <w:spacing w:val="-10"/>
          <w:sz w:val="22"/>
          <w:szCs w:val="22"/>
        </w:rPr>
        <w:t xml:space="preserve"> </w:t>
      </w:r>
      <w:r w:rsidRPr="40CAFB3C">
        <w:rPr>
          <w:rStyle w:val="None"/>
          <w:rFonts w:eastAsia="Arial" w:cs="Arial"/>
          <w:sz w:val="22"/>
          <w:szCs w:val="22"/>
        </w:rPr>
        <w:t>feedback)</w:t>
      </w:r>
      <w:r w:rsidRPr="40CAFB3C">
        <w:rPr>
          <w:rStyle w:val="None"/>
          <w:rFonts w:eastAsia="Arial" w:cs="Arial"/>
          <w:spacing w:val="-10"/>
          <w:sz w:val="22"/>
          <w:szCs w:val="22"/>
        </w:rPr>
        <w:t xml:space="preserve"> </w:t>
      </w:r>
      <w:r w:rsidRPr="40CAFB3C">
        <w:rPr>
          <w:rStyle w:val="None"/>
          <w:rFonts w:eastAsia="Arial" w:cs="Arial"/>
          <w:sz w:val="22"/>
          <w:szCs w:val="22"/>
        </w:rPr>
        <w:t>and</w:t>
      </w:r>
      <w:r w:rsidRPr="40CAFB3C">
        <w:rPr>
          <w:rStyle w:val="None"/>
          <w:rFonts w:eastAsia="Arial" w:cs="Arial"/>
          <w:spacing w:val="-7"/>
          <w:sz w:val="22"/>
          <w:szCs w:val="22"/>
        </w:rPr>
        <w:t xml:space="preserve"> </w:t>
      </w:r>
      <w:proofErr w:type="spellStart"/>
      <w:r w:rsidRPr="40CAFB3C">
        <w:rPr>
          <w:rStyle w:val="None"/>
          <w:rFonts w:eastAsia="Arial" w:cs="Arial"/>
          <w:sz w:val="22"/>
          <w:szCs w:val="22"/>
          <w:lang w:val="de-DE"/>
        </w:rPr>
        <w:t>shall</w:t>
      </w:r>
      <w:proofErr w:type="spellEnd"/>
      <w:r w:rsidRPr="40CAFB3C">
        <w:rPr>
          <w:rStyle w:val="None"/>
          <w:rFonts w:eastAsia="Arial" w:cs="Arial"/>
          <w:spacing w:val="-10"/>
          <w:sz w:val="22"/>
          <w:szCs w:val="22"/>
        </w:rPr>
        <w:t xml:space="preserve"> </w:t>
      </w:r>
      <w:r w:rsidRPr="40CAFB3C">
        <w:rPr>
          <w:rStyle w:val="None"/>
          <w:rFonts w:eastAsia="Arial" w:cs="Arial"/>
          <w:sz w:val="22"/>
          <w:szCs w:val="22"/>
        </w:rPr>
        <w:t>include</w:t>
      </w:r>
      <w:r w:rsidRPr="40CAFB3C">
        <w:rPr>
          <w:rStyle w:val="None"/>
          <w:rFonts w:eastAsia="Arial" w:cs="Arial"/>
          <w:spacing w:val="-7"/>
          <w:sz w:val="22"/>
          <w:szCs w:val="22"/>
        </w:rPr>
        <w:t xml:space="preserve"> </w:t>
      </w:r>
      <w:r w:rsidRPr="40CAFB3C">
        <w:rPr>
          <w:rStyle w:val="None"/>
          <w:rFonts w:eastAsia="Arial" w:cs="Arial"/>
          <w:sz w:val="22"/>
          <w:szCs w:val="22"/>
        </w:rPr>
        <w:t>an</w:t>
      </w:r>
      <w:r w:rsidRPr="40CAFB3C">
        <w:rPr>
          <w:rStyle w:val="None"/>
          <w:rFonts w:eastAsia="Arial" w:cs="Arial"/>
          <w:spacing w:val="-7"/>
          <w:sz w:val="22"/>
          <w:szCs w:val="22"/>
        </w:rPr>
        <w:t xml:space="preserve"> </w:t>
      </w:r>
      <w:r w:rsidRPr="40CAFB3C">
        <w:rPr>
          <w:rStyle w:val="None"/>
          <w:rFonts w:eastAsia="Arial" w:cs="Arial"/>
          <w:sz w:val="22"/>
          <w:szCs w:val="22"/>
          <w:lang w:val="fr-FR"/>
        </w:rPr>
        <w:t>indication</w:t>
      </w:r>
      <w:r w:rsidRPr="40CAFB3C">
        <w:rPr>
          <w:rStyle w:val="None"/>
          <w:rFonts w:eastAsia="Arial" w:cs="Arial"/>
          <w:spacing w:val="-7"/>
          <w:sz w:val="22"/>
          <w:szCs w:val="22"/>
        </w:rPr>
        <w:t xml:space="preserve"> </w:t>
      </w:r>
      <w:r w:rsidRPr="40CAFB3C">
        <w:rPr>
          <w:rStyle w:val="None"/>
          <w:rFonts w:eastAsia="Arial" w:cs="Arial"/>
          <w:sz w:val="22"/>
          <w:szCs w:val="22"/>
        </w:rPr>
        <w:t>of</w:t>
      </w:r>
      <w:r w:rsidRPr="40CAFB3C">
        <w:rPr>
          <w:rStyle w:val="None"/>
          <w:rFonts w:eastAsia="Arial" w:cs="Arial"/>
          <w:spacing w:val="-6"/>
          <w:sz w:val="22"/>
          <w:szCs w:val="22"/>
        </w:rPr>
        <w:t xml:space="preserve"> </w:t>
      </w:r>
      <w:r w:rsidRPr="40CAFB3C">
        <w:rPr>
          <w:rStyle w:val="None"/>
          <w:rFonts w:eastAsia="Arial" w:cs="Arial"/>
          <w:sz w:val="22"/>
          <w:szCs w:val="22"/>
        </w:rPr>
        <w:t>the</w:t>
      </w:r>
      <w:r w:rsidRPr="40CAFB3C">
        <w:rPr>
          <w:rStyle w:val="None"/>
          <w:rFonts w:eastAsia="Arial" w:cs="Arial"/>
          <w:spacing w:val="-7"/>
          <w:sz w:val="22"/>
          <w:szCs w:val="22"/>
        </w:rPr>
        <w:t xml:space="preserve"> </w:t>
      </w:r>
      <w:r w:rsidRPr="40CAFB3C">
        <w:rPr>
          <w:rStyle w:val="None"/>
          <w:rFonts w:eastAsia="Arial" w:cs="Arial"/>
          <w:sz w:val="22"/>
          <w:szCs w:val="22"/>
        </w:rPr>
        <w:t>number of comments</w:t>
      </w:r>
      <w:r w:rsidRPr="40CAFB3C">
        <w:rPr>
          <w:rStyle w:val="None"/>
          <w:rFonts w:eastAsia="Arial" w:cs="Arial"/>
          <w:spacing w:val="-3"/>
          <w:sz w:val="22"/>
          <w:szCs w:val="22"/>
        </w:rPr>
        <w:t xml:space="preserve"> </w:t>
      </w:r>
      <w:r w:rsidRPr="40CAFB3C">
        <w:rPr>
          <w:rStyle w:val="None"/>
          <w:rFonts w:eastAsia="Arial" w:cs="Arial"/>
          <w:sz w:val="22"/>
          <w:szCs w:val="22"/>
        </w:rPr>
        <w:t>for</w:t>
      </w:r>
      <w:r w:rsidRPr="40CAFB3C">
        <w:rPr>
          <w:rStyle w:val="None"/>
          <w:rFonts w:eastAsia="Arial" w:cs="Arial"/>
          <w:spacing w:val="-3"/>
          <w:sz w:val="22"/>
          <w:szCs w:val="22"/>
        </w:rPr>
        <w:t xml:space="preserve"> </w:t>
      </w:r>
      <w:r w:rsidRPr="40CAFB3C">
        <w:rPr>
          <w:rStyle w:val="None"/>
          <w:rFonts w:eastAsia="Arial" w:cs="Arial"/>
          <w:sz w:val="22"/>
          <w:szCs w:val="22"/>
        </w:rPr>
        <w:t>each</w:t>
      </w:r>
      <w:r w:rsidRPr="40CAFB3C">
        <w:rPr>
          <w:rStyle w:val="None"/>
          <w:rFonts w:eastAsia="Arial" w:cs="Arial"/>
          <w:spacing w:val="-3"/>
          <w:sz w:val="22"/>
          <w:szCs w:val="22"/>
        </w:rPr>
        <w:t xml:space="preserve"> </w:t>
      </w:r>
      <w:r w:rsidRPr="40CAFB3C">
        <w:rPr>
          <w:rStyle w:val="None"/>
          <w:rFonts w:eastAsia="Arial" w:cs="Arial"/>
          <w:sz w:val="22"/>
          <w:szCs w:val="22"/>
        </w:rPr>
        <w:t>category/subcategory. A</w:t>
      </w:r>
      <w:r w:rsidRPr="40CAFB3C">
        <w:rPr>
          <w:rStyle w:val="None"/>
          <w:rFonts w:eastAsia="Arial" w:cs="Arial"/>
          <w:spacing w:val="-3"/>
          <w:sz w:val="22"/>
          <w:szCs w:val="22"/>
        </w:rPr>
        <w:t xml:space="preserve"> </w:t>
      </w:r>
      <w:proofErr w:type="spellStart"/>
      <w:r w:rsidRPr="40CAFB3C">
        <w:rPr>
          <w:rStyle w:val="None"/>
          <w:rFonts w:eastAsia="Arial" w:cs="Arial"/>
          <w:sz w:val="22"/>
          <w:szCs w:val="22"/>
          <w:lang w:val="pt-PT"/>
        </w:rPr>
        <w:t>consistent</w:t>
      </w:r>
      <w:proofErr w:type="spellEnd"/>
      <w:r w:rsidRPr="40CAFB3C">
        <w:rPr>
          <w:rStyle w:val="None"/>
          <w:rFonts w:eastAsia="Arial" w:cs="Arial"/>
          <w:spacing w:val="-3"/>
          <w:sz w:val="22"/>
          <w:szCs w:val="22"/>
        </w:rPr>
        <w:t xml:space="preserve"> </w:t>
      </w:r>
      <w:r w:rsidRPr="40CAFB3C">
        <w:rPr>
          <w:rStyle w:val="None"/>
          <w:rFonts w:eastAsia="Arial" w:cs="Arial"/>
          <w:sz w:val="22"/>
          <w:szCs w:val="22"/>
        </w:rPr>
        <w:t>approach</w:t>
      </w:r>
      <w:r w:rsidRPr="40CAFB3C">
        <w:rPr>
          <w:rStyle w:val="None"/>
          <w:rFonts w:eastAsia="Arial" w:cs="Arial"/>
          <w:spacing w:val="-3"/>
          <w:sz w:val="22"/>
          <w:szCs w:val="22"/>
        </w:rPr>
        <w:t xml:space="preserve"> </w:t>
      </w:r>
      <w:r w:rsidRPr="40CAFB3C">
        <w:rPr>
          <w:rStyle w:val="None"/>
          <w:rFonts w:eastAsia="Arial" w:cs="Arial"/>
          <w:sz w:val="22"/>
          <w:szCs w:val="22"/>
        </w:rPr>
        <w:t xml:space="preserve">shall be used for all faculty. The candidate must not be involved in preparing the summary of comments. </w:t>
      </w:r>
    </w:p>
    <w:p w14:paraId="42ECFB63" w14:textId="20B732E1" w:rsidR="00D760E5" w:rsidRDefault="40CAFB3C" w:rsidP="40CAFB3C">
      <w:pPr>
        <w:pStyle w:val="ListParagraph"/>
        <w:tabs>
          <w:tab w:val="clear" w:pos="1636"/>
          <w:tab w:val="left" w:pos="2070"/>
        </w:tabs>
        <w:ind w:left="2070" w:right="30"/>
        <w:rPr>
          <w:rStyle w:val="None"/>
          <w:rFonts w:eastAsia="Arial" w:cs="Arial"/>
        </w:rPr>
      </w:pPr>
      <w:r w:rsidRPr="40CAFB3C">
        <w:rPr>
          <w:rStyle w:val="None"/>
          <w:rFonts w:eastAsia="Arial" w:cs="Arial"/>
        </w:rPr>
        <w:t>Other forms of student feedback can simultaneously meet criteria here an</w:t>
      </w:r>
      <w:r w:rsidR="1FCD0272" w:rsidRPr="40CAFB3C">
        <w:rPr>
          <w:rStyle w:val="None"/>
          <w:rFonts w:eastAsia="Arial" w:cs="Arial"/>
        </w:rPr>
        <w:t>d  al</w:t>
      </w:r>
      <w:r w:rsidRPr="40CAFB3C">
        <w:rPr>
          <w:rStyle w:val="None"/>
          <w:rFonts w:eastAsia="Arial" w:cs="Arial"/>
        </w:rPr>
        <w:t>so</w:t>
      </w:r>
      <w:r w:rsidRPr="40CAFB3C">
        <w:rPr>
          <w:rStyle w:val="None"/>
          <w:rFonts w:eastAsia="Arial" w:cs="Arial"/>
          <w:spacing w:val="-1"/>
        </w:rPr>
        <w:t xml:space="preserve"> </w:t>
      </w:r>
      <w:r w:rsidRPr="40CAFB3C">
        <w:rPr>
          <w:rStyle w:val="None"/>
          <w:rFonts w:eastAsia="Arial" w:cs="Arial"/>
        </w:rPr>
        <w:t>meet</w:t>
      </w:r>
      <w:r w:rsidRPr="40CAFB3C">
        <w:rPr>
          <w:rStyle w:val="None"/>
          <w:rFonts w:eastAsia="Arial" w:cs="Arial"/>
          <w:spacing w:val="-1"/>
        </w:rPr>
        <w:t xml:space="preserve"> </w:t>
      </w:r>
      <w:r w:rsidRPr="40CAFB3C">
        <w:rPr>
          <w:rStyle w:val="None"/>
          <w:rFonts w:eastAsia="Arial" w:cs="Arial"/>
        </w:rPr>
        <w:t>criteria</w:t>
      </w:r>
      <w:r w:rsidRPr="40CAFB3C">
        <w:rPr>
          <w:rStyle w:val="None"/>
          <w:rFonts w:eastAsia="Arial" w:cs="Arial"/>
          <w:spacing w:val="-1"/>
        </w:rPr>
        <w:t xml:space="preserve"> </w:t>
      </w:r>
      <w:r w:rsidRPr="40CAFB3C">
        <w:rPr>
          <w:rStyle w:val="None"/>
          <w:rFonts w:eastAsia="Arial" w:cs="Arial"/>
        </w:rPr>
        <w:t>for</w:t>
      </w:r>
      <w:r w:rsidRPr="40CAFB3C">
        <w:rPr>
          <w:rStyle w:val="None"/>
          <w:rFonts w:eastAsia="Arial" w:cs="Arial"/>
          <w:spacing w:val="-3"/>
        </w:rPr>
        <w:t xml:space="preserve"> </w:t>
      </w:r>
      <w:r w:rsidRPr="40CAFB3C">
        <w:rPr>
          <w:rStyle w:val="None"/>
          <w:rFonts w:eastAsia="Arial" w:cs="Arial"/>
        </w:rPr>
        <w:t>alternative</w:t>
      </w:r>
      <w:r w:rsidRPr="40CAFB3C">
        <w:rPr>
          <w:rStyle w:val="None"/>
          <w:rFonts w:eastAsia="Arial" w:cs="Arial"/>
          <w:spacing w:val="-1"/>
        </w:rPr>
        <w:t xml:space="preserve"> </w:t>
      </w:r>
      <w:r w:rsidRPr="40CAFB3C">
        <w:rPr>
          <w:rStyle w:val="None"/>
          <w:rFonts w:eastAsia="Arial" w:cs="Arial"/>
        </w:rPr>
        <w:t>assessments</w:t>
      </w:r>
      <w:r w:rsidRPr="40CAFB3C">
        <w:rPr>
          <w:rStyle w:val="None"/>
          <w:rFonts w:eastAsia="Arial" w:cs="Arial"/>
          <w:spacing w:val="-1"/>
        </w:rPr>
        <w:t xml:space="preserve"> </w:t>
      </w:r>
      <w:r w:rsidRPr="40CAFB3C">
        <w:rPr>
          <w:rStyle w:val="None"/>
          <w:rFonts w:eastAsia="Arial" w:cs="Arial"/>
        </w:rPr>
        <w:t>(see</w:t>
      </w:r>
      <w:r w:rsidRPr="40CAFB3C">
        <w:rPr>
          <w:rStyle w:val="None"/>
          <w:rFonts w:eastAsia="Arial" w:cs="Arial"/>
          <w:spacing w:val="-1"/>
        </w:rPr>
        <w:t xml:space="preserve"> </w:t>
      </w:r>
      <w:r w:rsidRPr="40CAFB3C">
        <w:rPr>
          <w:rStyle w:val="None"/>
          <w:rFonts w:eastAsia="Arial" w:cs="Arial"/>
        </w:rPr>
        <w:t>Section</w:t>
      </w:r>
      <w:r w:rsidRPr="40CAFB3C">
        <w:rPr>
          <w:rStyle w:val="None"/>
          <w:rFonts w:eastAsia="Arial" w:cs="Arial"/>
          <w:spacing w:val="-1"/>
        </w:rPr>
        <w:t xml:space="preserve"> </w:t>
      </w:r>
      <w:r w:rsidRPr="40CAFB3C">
        <w:rPr>
          <w:rStyle w:val="None"/>
          <w:rFonts w:eastAsia="Arial" w:cs="Arial"/>
        </w:rPr>
        <w:t>4</w:t>
      </w:r>
      <w:r w:rsidRPr="40CAFB3C">
        <w:rPr>
          <w:rStyle w:val="None"/>
          <w:rFonts w:eastAsia="Arial" w:cs="Arial"/>
          <w:spacing w:val="-1"/>
        </w:rPr>
        <w:t xml:space="preserve"> </w:t>
      </w:r>
      <w:r w:rsidRPr="40CAFB3C">
        <w:rPr>
          <w:rStyle w:val="None"/>
          <w:rFonts w:eastAsia="Arial" w:cs="Arial"/>
        </w:rPr>
        <w:t>below).</w:t>
      </w:r>
    </w:p>
    <w:p w14:paraId="583BC54C" w14:textId="7099E722" w:rsidR="40CAFB3C" w:rsidRDefault="40CAFB3C" w:rsidP="40CAFB3C">
      <w:pPr>
        <w:pStyle w:val="ListParagraph"/>
        <w:tabs>
          <w:tab w:val="clear" w:pos="1636"/>
          <w:tab w:val="left" w:pos="2070"/>
        </w:tabs>
      </w:pPr>
    </w:p>
    <w:p w14:paraId="44747D20" w14:textId="2003F926"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4.</w:t>
      </w:r>
      <w:r w:rsidR="5A81FEA8" w:rsidRPr="40CAFB3C">
        <w:rPr>
          <w:rStyle w:val="None"/>
          <w:rFonts w:ascii="Arial" w:eastAsia="Arial" w:hAnsi="Arial" w:cs="Arial"/>
          <w:sz w:val="22"/>
          <w:szCs w:val="22"/>
        </w:rPr>
        <w:t xml:space="preserve"> </w:t>
      </w:r>
      <w:r w:rsidRPr="006065C3">
        <w:rPr>
          <w:rStyle w:val="None"/>
          <w:rFonts w:ascii="Arial" w:hAnsi="Arial" w:cs="Arial"/>
          <w:sz w:val="22"/>
          <w:szCs w:val="22"/>
        </w:rPr>
        <w:t>Alternate teaching assessment was optional for Spring 2020 and Summer of 2020 but is required beginning Fall 2020. The dossier should include just one example of an alternate assessment for each academic year that alternate assessments are required (the first year being AY20-21).</w:t>
      </w:r>
      <w:r w:rsidRPr="40CAFB3C">
        <w:rPr>
          <w:rStyle w:val="None"/>
          <w:rFonts w:ascii="Arial" w:eastAsia="Arial" w:hAnsi="Arial" w:cs="Arial"/>
          <w:sz w:val="22"/>
          <w:szCs w:val="22"/>
        </w:rPr>
        <w:t xml:space="preserve"> University guidelines (found on the VPFA Promotion and Tenure webpage) list options for alternative assessments including self-reflection, analysis based on real-time assessments, comparison to prior years’ assessment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and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goals,</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and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options</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based</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on</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additional</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student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 xml:space="preserve">input. Some alternate assessment options (such as self-reflection) may apply to a semester’s teaching in aggregate and, as such, could encompass </w:t>
      </w:r>
      <w:r w:rsidRPr="40CAFB3C">
        <w:rPr>
          <w:rStyle w:val="None"/>
          <w:rFonts w:ascii="Arial" w:eastAsia="Arial" w:hAnsi="Arial" w:cs="Arial"/>
          <w:sz w:val="22"/>
          <w:szCs w:val="22"/>
        </w:rPr>
        <w:lastRenderedPageBreak/>
        <w:t>multiple courses while other options (such as formative feedback from students or summary of student work) are done at the course-level. As long as one of these alternative assessments (regardless of whether it spans a semester’s courses combined, or one course) is included, the requirement is considered met.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As mentioned above, an alternative teaching assessment that is based on direct feedback from students (e.g., real-time classroom assessment techniques or exit surveys) also meets criteria under Section 3 above. Academic unit guidelines can establish local standards and processes for alternative assessments.</w:t>
      </w:r>
    </w:p>
    <w:p w14:paraId="6F201B3C" w14:textId="6B1E3134" w:rsidR="40CAFB3C" w:rsidRDefault="40CAFB3C" w:rsidP="40CAFB3C">
      <w:pPr>
        <w:ind w:left="1440"/>
      </w:pPr>
    </w:p>
    <w:p w14:paraId="31AE16ED" w14:textId="77777777"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5. Information used in the review may also include systematic evidence       gathered from alumni and former students, professional organizations or other sources as determined by local academic unit guidelines.</w:t>
      </w:r>
    </w:p>
    <w:p w14:paraId="6B86BED7" w14:textId="5BCD4A6D" w:rsidR="40CAFB3C" w:rsidRDefault="40CAFB3C" w:rsidP="40CAFB3C">
      <w:pPr>
        <w:ind w:left="1440"/>
      </w:pPr>
    </w:p>
    <w:p w14:paraId="4B6546C6" w14:textId="6B648CE1"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6. In addition, the candidate may submit a teaching portfolio. A teaching portfolio is not included in the dossier for promotion and/or tenure, but is included in supplementary material, just as are copies of publications. The portfolio is retained by the unit head, but is available at all levels of review upon request. A teaching portfolio may include a narrative description of the teaching assignments, a statement of teaching philosophy, evidence of class materials (syllabus, assignments, etc.), examples of feedback provided to students, course or curriculum proposals developed, applications for funding of teaching scholarship, description of efforts to improve teaching, examples of teaching innovations implemented, and other similar items that demonstrate the candidate’s scholarship of teaching and learning.</w:t>
      </w:r>
    </w:p>
    <w:p w14:paraId="4D7FF728" w14:textId="6B9615F8" w:rsidR="40CAFB3C" w:rsidRDefault="40CAFB3C" w:rsidP="40CAFB3C">
      <w:pPr>
        <w:ind w:left="1440"/>
      </w:pPr>
    </w:p>
    <w:p w14:paraId="0B06BBDD" w14:textId="77777777" w:rsidR="00D760E5" w:rsidRDefault="40CAFB3C" w:rsidP="40CAFB3C">
      <w:pPr>
        <w:ind w:left="2160" w:right="30"/>
        <w:rPr>
          <w:rFonts w:ascii="Arial" w:eastAsia="Arial" w:hAnsi="Arial" w:cs="Arial"/>
          <w:sz w:val="22"/>
          <w:szCs w:val="22"/>
        </w:rPr>
      </w:pPr>
      <w:r w:rsidRPr="40CAFB3C">
        <w:rPr>
          <w:rStyle w:val="None"/>
          <w:rFonts w:ascii="Arial" w:eastAsia="Arial" w:hAnsi="Arial" w:cs="Arial"/>
          <w:sz w:val="22"/>
          <w:szCs w:val="22"/>
        </w:rPr>
        <w:t>7. Review committees at both the unit and college level must make judgement</w:t>
      </w:r>
      <w:r w:rsidRPr="40CAFB3C">
        <w:rPr>
          <w:rStyle w:val="None"/>
          <w:rFonts w:ascii="Arial" w:eastAsia="Arial" w:hAnsi="Arial" w:cs="Arial"/>
          <w:spacing w:val="-1"/>
          <w:sz w:val="22"/>
          <w:szCs w:val="22"/>
        </w:rPr>
        <w:t xml:space="preserve"> </w:t>
      </w:r>
      <w:r w:rsidRPr="40CAFB3C">
        <w:rPr>
          <w:rStyle w:val="None"/>
          <w:rFonts w:ascii="Arial" w:eastAsia="Arial" w:hAnsi="Arial" w:cs="Arial"/>
          <w:sz w:val="22"/>
          <w:szCs w:val="22"/>
        </w:rPr>
        <w:t>of the candidate’s teaching effectiveness using the following classification: excellent, very good, satisfactory, unsatisfactory.</w:t>
      </w:r>
    </w:p>
    <w:p w14:paraId="3A830493" w14:textId="617BAFB5" w:rsidR="40CAFB3C" w:rsidRDefault="40CAFB3C" w:rsidP="40CAFB3C"/>
    <w:p w14:paraId="6C48FA37" w14:textId="77777777" w:rsidR="00D760E5" w:rsidRDefault="40CAFB3C">
      <w:pPr>
        <w:pStyle w:val="ListParagraph"/>
        <w:numPr>
          <w:ilvl w:val="1"/>
          <w:numId w:val="39"/>
        </w:numPr>
        <w:ind w:right="30"/>
        <w:jc w:val="left"/>
        <w:rPr>
          <w:rFonts w:eastAsia="Arial" w:cs="Arial"/>
        </w:rPr>
      </w:pPr>
      <w:r w:rsidRPr="40CAFB3C">
        <w:rPr>
          <w:rStyle w:val="None"/>
          <w:rFonts w:eastAsia="Arial" w:cs="Arial"/>
        </w:rPr>
        <w:t>The Scholarship of Research and Creative Accomplishments</w:t>
      </w:r>
    </w:p>
    <w:p w14:paraId="3BF78C35" w14:textId="4DEEC073" w:rsidR="40CAFB3C" w:rsidRDefault="40CAFB3C" w:rsidP="40CAFB3C">
      <w:pPr>
        <w:pStyle w:val="ListParagraph"/>
      </w:pPr>
    </w:p>
    <w:p w14:paraId="6DBCCDC3" w14:textId="77777777" w:rsidR="00D760E5" w:rsidRDefault="40CAFB3C">
      <w:pPr>
        <w:pStyle w:val="ListParagraph"/>
        <w:numPr>
          <w:ilvl w:val="0"/>
          <w:numId w:val="7"/>
        </w:numPr>
        <w:ind w:right="30"/>
        <w:rPr>
          <w:rFonts w:eastAsia="Arial" w:cs="Arial"/>
        </w:rPr>
      </w:pPr>
      <w:r w:rsidRPr="40CAFB3C">
        <w:rPr>
          <w:rStyle w:val="None"/>
          <w:rFonts w:eastAsia="Arial" w:cs="Arial"/>
          <w:u w:val="single"/>
        </w:rPr>
        <w:t>Research.</w:t>
      </w:r>
      <w:r w:rsidRPr="40CAFB3C">
        <w:rPr>
          <w:rStyle w:val="None"/>
          <w:rFonts w:eastAsia="Arial" w:cs="Arial"/>
        </w:rPr>
        <w:t xml:space="preserve"> The demonstration of the scholarship of research and creative accomplishment involves both qualitative and quantitative components. Research competence is thus not reflected in a single product per se, but rather by the programmatic character of one’s research, by the appearance of one’s work in the leading peer-reviewed professional outlets in one’s discipline, by success in attaining external funding for one’s research program, and by the clear identification by others in one’s discipline of one’s expertise in and contribution to a specific area of scholarly endeavor. Of these, the feasibility of success in attaining external funding will vary as a function of discipline, variation that should be taken into account by reviewers. In summary, attaining a visible and programmatic record of research involves a high level of productivity; in addition, however, the recognition that such a program should earn in order for it to be regarded as reflective of research competence is a qualitative feature of the research.</w:t>
      </w:r>
    </w:p>
    <w:p w14:paraId="5B456AE5" w14:textId="0F36475C" w:rsidR="40CAFB3C" w:rsidRDefault="40CAFB3C" w:rsidP="40CAFB3C">
      <w:pPr>
        <w:pStyle w:val="ListParagraph"/>
        <w:ind w:left="1440"/>
      </w:pPr>
    </w:p>
    <w:p w14:paraId="108DB468" w14:textId="77777777" w:rsidR="00D760E5" w:rsidRDefault="40CAFB3C">
      <w:pPr>
        <w:pStyle w:val="ListParagraph"/>
        <w:numPr>
          <w:ilvl w:val="0"/>
          <w:numId w:val="7"/>
        </w:numPr>
        <w:ind w:right="30"/>
        <w:rPr>
          <w:rFonts w:eastAsia="Arial" w:cs="Arial"/>
        </w:rPr>
      </w:pPr>
      <w:r w:rsidRPr="40CAFB3C">
        <w:rPr>
          <w:rStyle w:val="None"/>
          <w:rFonts w:eastAsia="Arial" w:cs="Arial"/>
          <w:u w:val="single"/>
        </w:rPr>
        <w:lastRenderedPageBreak/>
        <w:t>Scholarship</w:t>
      </w:r>
      <w:r w:rsidRPr="40CAFB3C">
        <w:rPr>
          <w:rStyle w:val="None"/>
          <w:rFonts w:eastAsia="Arial" w:cs="Arial"/>
        </w:rPr>
        <w:t>. Evidence of scholarship should be assessed through a record of invited papers, and invitations to speak at scholarly seminars and assemblies both on and off campus, all of which establish a reputation of quality in one’s profession. Publication of popular works, book reviews, and non-peer reviewed papers, and development of new or revised teaching materials all serve to enhance the professing of information. Election to scholarly academies demonstrates mastery. Participation in scholarly academies demonstrates the confidence of peers and colleagues in one’s acknowledged expertise and leadership (i.e., editor, reviewer, etc.). Leadership in bringing workshops, clinics, and educational opportunities to wider audiences is further evidence of mastery in a specified area of scholarship bridging research and application.</w:t>
      </w:r>
    </w:p>
    <w:p w14:paraId="79E49BC4" w14:textId="54C7DC8A" w:rsidR="40CAFB3C" w:rsidRDefault="40CAFB3C" w:rsidP="40CAFB3C">
      <w:pPr>
        <w:pStyle w:val="ListParagraph"/>
        <w:ind w:left="1440"/>
      </w:pPr>
    </w:p>
    <w:p w14:paraId="7DD26D1B" w14:textId="77777777" w:rsidR="00D760E5" w:rsidRDefault="40CAFB3C">
      <w:pPr>
        <w:pStyle w:val="ListParagraph"/>
        <w:numPr>
          <w:ilvl w:val="0"/>
          <w:numId w:val="7"/>
        </w:numPr>
        <w:ind w:right="30"/>
        <w:rPr>
          <w:rFonts w:eastAsia="Arial" w:cs="Arial"/>
        </w:rPr>
      </w:pPr>
      <w:r w:rsidRPr="40CAFB3C">
        <w:rPr>
          <w:rStyle w:val="None"/>
          <w:rFonts w:eastAsia="Arial" w:cs="Arial"/>
        </w:rPr>
        <w:t>Finally, it should be noted that presentations of research and scholarship may have been arranged but not delivered during 2020 and 2021. These can be noted throughout the dossier as “accepted/invited” (choose one) but unable to be presented because of COVID-19.”</w:t>
      </w:r>
    </w:p>
    <w:p w14:paraId="2B4E1B2B" w14:textId="160E2069" w:rsidR="40CAFB3C" w:rsidRDefault="40CAFB3C" w:rsidP="40CAFB3C">
      <w:pPr>
        <w:pStyle w:val="ListParagraph"/>
      </w:pPr>
    </w:p>
    <w:p w14:paraId="14AD64AE" w14:textId="63B604F7" w:rsidR="00D760E5" w:rsidRDefault="2D37FD92" w:rsidP="40CAFB3C">
      <w:pPr>
        <w:ind w:left="193" w:right="30" w:firstLine="720"/>
        <w:rPr>
          <w:rStyle w:val="None"/>
          <w:rFonts w:ascii="Arial" w:eastAsia="Arial" w:hAnsi="Arial" w:cs="Arial"/>
          <w:sz w:val="22"/>
          <w:szCs w:val="22"/>
        </w:rPr>
      </w:pPr>
      <w:r w:rsidRPr="40CAFB3C">
        <w:rPr>
          <w:rStyle w:val="None"/>
          <w:rFonts w:ascii="Arial" w:eastAsia="Arial" w:hAnsi="Arial" w:cs="Arial"/>
          <w:sz w:val="22"/>
          <w:szCs w:val="22"/>
        </w:rPr>
        <w:t>D.</w:t>
      </w:r>
      <w:r w:rsidR="00000000">
        <w:tab/>
      </w:r>
      <w:r w:rsidR="40CAFB3C" w:rsidRPr="40CAFB3C">
        <w:rPr>
          <w:rStyle w:val="None"/>
          <w:rFonts w:ascii="Arial" w:eastAsia="Arial" w:hAnsi="Arial" w:cs="Arial"/>
          <w:sz w:val="22"/>
          <w:szCs w:val="22"/>
        </w:rPr>
        <w:t xml:space="preserve">Service and the Scholarship of Service to the University, Society and the </w:t>
      </w:r>
      <w:r w:rsidR="00000000">
        <w:tab/>
      </w:r>
    </w:p>
    <w:p w14:paraId="5F3E644C" w14:textId="0CA6B37F" w:rsidR="00D760E5" w:rsidRDefault="30359829" w:rsidP="40CAFB3C">
      <w:pPr>
        <w:ind w:left="720" w:right="30" w:firstLine="720"/>
        <w:rPr>
          <w:rFonts w:ascii="Arial" w:eastAsia="Arial" w:hAnsi="Arial" w:cs="Arial"/>
          <w:sz w:val="22"/>
          <w:szCs w:val="22"/>
        </w:rPr>
      </w:pPr>
      <w:r w:rsidRPr="40CAFB3C">
        <w:rPr>
          <w:rStyle w:val="None"/>
          <w:rFonts w:ascii="Arial" w:eastAsia="Arial" w:hAnsi="Arial" w:cs="Arial"/>
          <w:sz w:val="22"/>
          <w:szCs w:val="22"/>
        </w:rPr>
        <w:t>P</w:t>
      </w:r>
      <w:r w:rsidR="40CAFB3C" w:rsidRPr="40CAFB3C">
        <w:rPr>
          <w:rStyle w:val="None"/>
          <w:rFonts w:ascii="Arial" w:eastAsia="Arial" w:hAnsi="Arial" w:cs="Arial"/>
          <w:sz w:val="22"/>
          <w:szCs w:val="22"/>
        </w:rPr>
        <w:t>rofession.</w:t>
      </w:r>
    </w:p>
    <w:p w14:paraId="72304313" w14:textId="11DCBB9F" w:rsidR="40CAFB3C" w:rsidRDefault="40CAFB3C" w:rsidP="40CAFB3C"/>
    <w:p w14:paraId="06C46A50" w14:textId="77777777" w:rsidR="00D760E5" w:rsidRDefault="40CAFB3C" w:rsidP="40CAFB3C">
      <w:pPr>
        <w:pStyle w:val="BodyText"/>
        <w:spacing w:after="120"/>
        <w:ind w:left="1230" w:right="30"/>
        <w:jc w:val="both"/>
        <w:rPr>
          <w:rStyle w:val="None"/>
          <w:rFonts w:eastAsia="Arial" w:cs="Arial"/>
          <w:sz w:val="22"/>
          <w:szCs w:val="22"/>
        </w:rPr>
      </w:pPr>
      <w:r w:rsidRPr="40CAFB3C">
        <w:rPr>
          <w:rStyle w:val="None"/>
          <w:rFonts w:eastAsia="Arial" w:cs="Arial"/>
          <w:sz w:val="22"/>
          <w:szCs w:val="22"/>
        </w:rPr>
        <w:t xml:space="preserve">Each faculty member is expected to take an active role in University affairs and public service. Participation in committee work, faculty governance, administrative support, and a wide scope of University, College, and Unit affairs provides evidence of service within the University. Commitment to public service through involvement in community affairs, governmental, industrial, public, and private organizations </w:t>
      </w:r>
      <w:proofErr w:type="gramStart"/>
      <w:r w:rsidRPr="40CAFB3C">
        <w:rPr>
          <w:rStyle w:val="None"/>
          <w:rFonts w:eastAsia="Arial" w:cs="Arial"/>
          <w:sz w:val="22"/>
          <w:szCs w:val="22"/>
        </w:rPr>
        <w:t>demonstrates</w:t>
      </w:r>
      <w:proofErr w:type="gramEnd"/>
      <w:r w:rsidRPr="40CAFB3C">
        <w:rPr>
          <w:rStyle w:val="None"/>
          <w:rFonts w:eastAsia="Arial" w:cs="Arial"/>
          <w:sz w:val="22"/>
          <w:szCs w:val="22"/>
        </w:rPr>
        <w:t xml:space="preserve"> competence in extending the University’s specialized knowledge throughout the Commonwealth, nation, and beyond. Active contribution to professional organizations is also considered a commitment to service.</w:t>
      </w:r>
    </w:p>
    <w:p w14:paraId="652C3700" w14:textId="155BC988" w:rsidR="00D760E5" w:rsidRDefault="40CAFB3C" w:rsidP="40CAFB3C">
      <w:pPr>
        <w:ind w:left="193" w:right="30" w:firstLine="720"/>
        <w:rPr>
          <w:rFonts w:ascii="Arial" w:eastAsia="Arial" w:hAnsi="Arial" w:cs="Arial"/>
          <w:sz w:val="22"/>
          <w:szCs w:val="22"/>
        </w:rPr>
      </w:pPr>
      <w:r w:rsidRPr="40CAFB3C">
        <w:rPr>
          <w:rStyle w:val="None"/>
          <w:rFonts w:ascii="Arial" w:eastAsia="Arial" w:hAnsi="Arial" w:cs="Arial"/>
          <w:sz w:val="22"/>
          <w:szCs w:val="22"/>
        </w:rPr>
        <w:t>E. External Letters of Assessment</w:t>
      </w:r>
    </w:p>
    <w:p w14:paraId="0AA0F7EB" w14:textId="0DA3A160" w:rsidR="40CAFB3C" w:rsidRDefault="40CAFB3C" w:rsidP="40CAFB3C"/>
    <w:p w14:paraId="35CC5F8F" w14:textId="77777777" w:rsidR="00D760E5" w:rsidRDefault="40CAFB3C">
      <w:pPr>
        <w:pStyle w:val="ListParagraph"/>
        <w:numPr>
          <w:ilvl w:val="0"/>
          <w:numId w:val="6"/>
        </w:numPr>
        <w:ind w:right="30"/>
        <w:rPr>
          <w:rFonts w:eastAsia="Arial" w:cs="Arial"/>
        </w:rPr>
      </w:pPr>
      <w:r w:rsidRPr="40CAFB3C">
        <w:rPr>
          <w:rStyle w:val="None"/>
          <w:rFonts w:eastAsia="Arial" w:cs="Arial"/>
          <w:u w:val="single"/>
        </w:rPr>
        <w:t xml:space="preserve"> Solicitation.</w:t>
      </w:r>
      <w:r w:rsidRPr="40CAFB3C">
        <w:rPr>
          <w:rStyle w:val="None"/>
          <w:rFonts w:eastAsia="Arial" w:cs="Arial"/>
        </w:rPr>
        <w:t xml:space="preserve"> External letters of assessment shall be solicited only by the    Office of the Dean and are included in the candidate’s dossier. General procedures for securing these letters are outlined in the </w:t>
      </w:r>
      <w:r w:rsidRPr="40CAFB3C">
        <w:rPr>
          <w:rStyle w:val="None"/>
          <w:rFonts w:eastAsia="Arial" w:cs="Arial"/>
          <w:i/>
          <w:iCs/>
        </w:rPr>
        <w:t>AC23 Administrative Guidelines</w:t>
      </w:r>
      <w:r w:rsidRPr="40CAFB3C">
        <w:rPr>
          <w:rStyle w:val="None"/>
          <w:rFonts w:eastAsia="Arial" w:cs="Arial"/>
        </w:rPr>
        <w:t>.</w:t>
      </w:r>
    </w:p>
    <w:p w14:paraId="0276FDAC" w14:textId="53D7B4AC" w:rsidR="40CAFB3C" w:rsidRDefault="40CAFB3C" w:rsidP="40CAFB3C">
      <w:pPr>
        <w:pStyle w:val="ListParagraph"/>
      </w:pPr>
    </w:p>
    <w:p w14:paraId="3EAF3002" w14:textId="77777777" w:rsidR="00D760E5" w:rsidRDefault="40CAFB3C">
      <w:pPr>
        <w:pStyle w:val="ListParagraph"/>
        <w:numPr>
          <w:ilvl w:val="0"/>
          <w:numId w:val="6"/>
        </w:numPr>
        <w:ind w:right="30"/>
        <w:jc w:val="left"/>
        <w:rPr>
          <w:rFonts w:eastAsia="Arial" w:cs="Arial"/>
        </w:rPr>
      </w:pPr>
      <w:r w:rsidRPr="40CAFB3C">
        <w:rPr>
          <w:rStyle w:val="None"/>
          <w:rFonts w:eastAsia="Arial" w:cs="Arial"/>
          <w:u w:val="single"/>
        </w:rPr>
        <w:t>Identification of reviewers.</w:t>
      </w:r>
      <w:r w:rsidRPr="40CAFB3C">
        <w:rPr>
          <w:rStyle w:val="None"/>
          <w:rFonts w:eastAsia="Arial" w:cs="Arial"/>
        </w:rPr>
        <w:t xml:space="preserve"> Specific</w:t>
      </w:r>
      <w:r w:rsidRPr="40CAFB3C">
        <w:rPr>
          <w:rStyle w:val="None"/>
          <w:rFonts w:eastAsia="Arial" w:cs="Arial"/>
          <w:spacing w:val="-1"/>
        </w:rPr>
        <w:t xml:space="preserve"> </w:t>
      </w:r>
      <w:r w:rsidRPr="40CAFB3C">
        <w:rPr>
          <w:rStyle w:val="None"/>
          <w:rFonts w:eastAsia="Arial" w:cs="Arial"/>
        </w:rPr>
        <w:t>to the College of Health and Human Development, the following guidelines apply.</w:t>
      </w:r>
    </w:p>
    <w:p w14:paraId="7DA4FC5A" w14:textId="5E08399E" w:rsidR="40CAFB3C" w:rsidRDefault="40CAFB3C" w:rsidP="40CAFB3C">
      <w:pPr>
        <w:pStyle w:val="ListParagraph"/>
      </w:pPr>
    </w:p>
    <w:p w14:paraId="44F782C5" w14:textId="11E45A75" w:rsidR="00D760E5" w:rsidRDefault="40CAFB3C" w:rsidP="40CAFB3C">
      <w:pPr>
        <w:pStyle w:val="ListParagraph"/>
        <w:numPr>
          <w:ilvl w:val="1"/>
          <w:numId w:val="5"/>
        </w:numPr>
        <w:ind w:right="30"/>
        <w:rPr>
          <w:rFonts w:eastAsia="Arial" w:cs="Arial"/>
        </w:rPr>
      </w:pPr>
      <w:r w:rsidRPr="40CAFB3C">
        <w:rPr>
          <w:rStyle w:val="None"/>
          <w:rFonts w:eastAsia="Arial" w:cs="Arial"/>
        </w:rPr>
        <w:t>The Dean will receive from the academic unit head a list of ten unique potential evaluator names, five (5) names provided by the candidate, three</w:t>
      </w:r>
      <w:r w:rsidR="67CC1E7D" w:rsidRPr="40CAFB3C">
        <w:rPr>
          <w:rStyle w:val="None"/>
          <w:rFonts w:eastAsia="Arial" w:cs="Arial"/>
        </w:rPr>
        <w:t xml:space="preserve"> </w:t>
      </w:r>
      <w:r w:rsidRPr="40CAFB3C">
        <w:rPr>
          <w:rStyle w:val="None"/>
          <w:rFonts w:eastAsia="Arial" w:cs="Arial"/>
        </w:rPr>
        <w:t xml:space="preserve">(3) by the academic unit review committee, and two (2) by the academic unit head. The list will be provided in alphabetical order, will indicate whether each name was provided by the candidate, committee or head, and will include a one-paragraph rationale (that includes a summary of the individual’s relevant academic credentials) as to why that individual would be an appropriate reviewer. The Dean will choose six (6) names from this </w:t>
      </w:r>
      <w:r w:rsidRPr="40CAFB3C">
        <w:rPr>
          <w:rStyle w:val="None"/>
          <w:rFonts w:eastAsia="Arial" w:cs="Arial"/>
          <w:spacing w:val="-1"/>
        </w:rPr>
        <w:t>list.</w:t>
      </w:r>
    </w:p>
    <w:p w14:paraId="7CF58273" w14:textId="26F621DD" w:rsidR="40CAFB3C" w:rsidRDefault="40CAFB3C" w:rsidP="40CAFB3C">
      <w:pPr>
        <w:ind w:left="720" w:right="30"/>
        <w:rPr>
          <w:rStyle w:val="None"/>
          <w:rFonts w:ascii="Arial" w:eastAsia="Arial" w:hAnsi="Arial" w:cs="Arial"/>
          <w:sz w:val="22"/>
          <w:szCs w:val="22"/>
        </w:rPr>
      </w:pPr>
    </w:p>
    <w:p w14:paraId="2C67A5D0"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lastRenderedPageBreak/>
        <w:t>External reviewers must be senior to the person being reviewed. Thus, candidates for promotion to associate professor must be reviewed by people at the rank of associate or full professor whereas candidates for promotion to full professor must be reviewed by full professors. Where applicable, reviewers may be drawn from research-related institutions outside the academy that are relevant to the candidate’s field as long</w:t>
      </w:r>
      <w:r w:rsidRPr="40CAFB3C">
        <w:rPr>
          <w:rStyle w:val="None"/>
          <w:rFonts w:eastAsia="Arial" w:cs="Arial"/>
          <w:spacing w:val="-1"/>
        </w:rPr>
        <w:t xml:space="preserve"> </w:t>
      </w:r>
      <w:r w:rsidRPr="40CAFB3C">
        <w:rPr>
          <w:rStyle w:val="None"/>
          <w:rFonts w:eastAsia="Arial" w:cs="Arial"/>
        </w:rPr>
        <w:t>as they are seasoned, highly regarded researchers.</w:t>
      </w:r>
    </w:p>
    <w:p w14:paraId="25283327" w14:textId="40CBD49F" w:rsidR="40CAFB3C" w:rsidRDefault="40CAFB3C" w:rsidP="40CAFB3C">
      <w:pPr>
        <w:pStyle w:val="ListParagraph"/>
      </w:pPr>
    </w:p>
    <w:p w14:paraId="62016B21"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t>Relatives, former teachers, colleagues or students of the candidate and anyone else who is not in a position to provide a fair and impartial assessment (such as co-workers, co-authors/investigators, and friends) should be avoided as referees.</w:t>
      </w:r>
    </w:p>
    <w:p w14:paraId="251FEE73" w14:textId="6C5438EB" w:rsidR="40CAFB3C" w:rsidRDefault="40CAFB3C" w:rsidP="40CAFB3C"/>
    <w:p w14:paraId="2D01442A" w14:textId="77777777" w:rsidR="00D760E5" w:rsidRDefault="40CAFB3C" w:rsidP="40CAFB3C">
      <w:pPr>
        <w:pStyle w:val="ListParagraph"/>
        <w:numPr>
          <w:ilvl w:val="1"/>
          <w:numId w:val="5"/>
        </w:numPr>
        <w:ind w:right="30"/>
        <w:rPr>
          <w:rFonts w:eastAsia="Arial" w:cs="Arial"/>
        </w:rPr>
      </w:pPr>
      <w:r w:rsidRPr="40CAFB3C">
        <w:rPr>
          <w:rStyle w:val="None"/>
          <w:rFonts w:eastAsia="Arial" w:cs="Arial"/>
        </w:rPr>
        <w:t>In general, references should be senior faculty from research universities similar to Penn State.</w:t>
      </w:r>
    </w:p>
    <w:p w14:paraId="63516A5E" w14:textId="1B993C68" w:rsidR="40CAFB3C" w:rsidRDefault="40CAFB3C" w:rsidP="40CAFB3C"/>
    <w:p w14:paraId="0BA17176" w14:textId="1B6A8A39" w:rsidR="00D760E5" w:rsidRDefault="00000000" w:rsidP="40CAFB3C">
      <w:pPr>
        <w:pStyle w:val="ListParagraph"/>
        <w:numPr>
          <w:ilvl w:val="0"/>
          <w:numId w:val="4"/>
        </w:numPr>
        <w:ind w:right="30"/>
        <w:rPr>
          <w:rStyle w:val="None"/>
          <w:rFonts w:eastAsia="Arial" w:cs="Arial"/>
        </w:rPr>
      </w:pPr>
      <w:r>
        <w:rPr>
          <w:rStyle w:val="None"/>
          <w:noProof/>
          <w:sz w:val="24"/>
          <w:szCs w:val="24"/>
        </w:rPr>
        <mc:AlternateContent>
          <mc:Choice Requires="wps">
            <w:drawing>
              <wp:anchor distT="0" distB="0" distL="0" distR="0" simplePos="0" relativeHeight="251657216" behindDoc="1" locked="0" layoutInCell="1" allowOverlap="1" wp14:anchorId="2607440B" wp14:editId="07777777">
                <wp:simplePos x="0" y="0"/>
                <wp:positionH relativeFrom="page">
                  <wp:posOffset>4084320</wp:posOffset>
                </wp:positionH>
                <wp:positionV relativeFrom="line">
                  <wp:posOffset>156845</wp:posOffset>
                </wp:positionV>
                <wp:extent cx="42546" cy="12700"/>
                <wp:effectExtent l="0" t="0" r="0" b="0"/>
                <wp:wrapNone/>
                <wp:docPr id="1073741826" name="officeArt object" descr="Freeform 4"/>
                <wp:cNvGraphicFramePr/>
                <a:graphic xmlns:a="http://schemas.openxmlformats.org/drawingml/2006/main">
                  <a:graphicData uri="http://schemas.microsoft.com/office/word/2010/wordprocessingShape">
                    <wps:wsp>
                      <wps:cNvSpPr/>
                      <wps:spPr>
                        <a:xfrm>
                          <a:off x="0" y="0"/>
                          <a:ext cx="42546" cy="12700"/>
                        </a:xfrm>
                        <a:prstGeom prst="rect">
                          <a:avLst/>
                        </a:prstGeom>
                        <a:solidFill>
                          <a:srgbClr val="000000"/>
                        </a:solidFill>
                        <a:ln w="12700" cap="flat">
                          <a:noFill/>
                          <a:miter lim="400000"/>
                        </a:ln>
                        <a:effectLst/>
                      </wps:spPr>
                      <wps:bodyPr/>
                    </wps:wsp>
                  </a:graphicData>
                </a:graphic>
              </wp:anchor>
            </w:drawing>
          </mc:Choice>
          <mc:Fallback xmlns:wp14="http://schemas.microsoft.com/office/word/2010/wordml" xmlns:pic="http://schemas.openxmlformats.org/drawingml/2006/picture" xmlns:a="http://schemas.openxmlformats.org/drawingml/2006/main">
            <w:pict w14:anchorId="12FA19C9">
              <v:rect id="_x0000_s1026" style="visibility:visible;position:absolute;margin-left:321.6pt;margin-top:12.4pt;width:3.4pt;height:1.0pt;z-index:-251659264;mso-position-horizontal:absolute;mso-position-horizontal-relative:page;mso-position-vertical:absolute;mso-position-vertical-relative:line;mso-wrap-distance-left:0.0pt;mso-wrap-distance-top:0.0pt;mso-wrap-distance-right:0.0pt;mso-wrap-distance-bottom:0.0pt;">
                <v:fill type="solid" color="#000000" opacity="100.0%"/>
                <v:stroke on="f" weight="1.0pt" linestyle="single" miterlimit="400.0%" joinstyle="miter" endcap="flat" dashstyle="solid" startarrow="none" startarrowwidth="medium" startarrowlength="medium" endarrow="none" endarrowwidth="medium" endarrowlength="medium"/>
                <w10:wrap type="none" side="bothSides" anchorx="page"/>
              </v:rect>
            </w:pict>
          </mc:Fallback>
        </mc:AlternateContent>
      </w:r>
      <w:r w:rsidR="40CAFB3C" w:rsidRPr="40CAFB3C">
        <w:rPr>
          <w:rStyle w:val="None"/>
          <w:rFonts w:eastAsia="Arial" w:cs="Arial"/>
        </w:rPr>
        <w:t>Materials sent to external reviewers. Faculty members will provide an up</w:t>
      </w:r>
      <w:r w:rsidR="5391C173" w:rsidRPr="40CAFB3C">
        <w:rPr>
          <w:rStyle w:val="None"/>
          <w:rFonts w:eastAsia="Arial" w:cs="Arial"/>
        </w:rPr>
        <w:t>dated</w:t>
      </w:r>
      <w:r w:rsidR="40CAFB3C" w:rsidRPr="40CAFB3C">
        <w:rPr>
          <w:rStyle w:val="None"/>
          <w:rFonts w:eastAsia="Arial" w:cs="Arial"/>
        </w:rPr>
        <w:t xml:space="preserve"> curriculum vitae (CV) and three to five reprints or preprints of</w:t>
      </w:r>
      <w:r w:rsidR="40CAFB3C" w:rsidRPr="40CAFB3C">
        <w:rPr>
          <w:rStyle w:val="None"/>
          <w:rFonts w:eastAsia="Arial" w:cs="Arial"/>
          <w:spacing w:val="-1"/>
        </w:rPr>
        <w:t xml:space="preserve"> </w:t>
      </w:r>
      <w:r w:rsidR="40CAFB3C" w:rsidRPr="40CAFB3C">
        <w:rPr>
          <w:rStyle w:val="None"/>
          <w:rFonts w:eastAsia="Arial" w:cs="Arial"/>
        </w:rPr>
        <w:t xml:space="preserve">research and/or scholarly work that illustrates their program of research. They will also provide </w:t>
      </w:r>
      <w:r w:rsidR="6265F2BB" w:rsidRPr="40CAFB3C">
        <w:rPr>
          <w:rStyle w:val="None"/>
          <w:rFonts w:eastAsia="Arial" w:cs="Arial"/>
        </w:rPr>
        <w:t>a research</w:t>
      </w:r>
      <w:r w:rsidR="40CAFB3C" w:rsidRPr="40CAFB3C">
        <w:rPr>
          <w:rStyle w:val="None"/>
          <w:rFonts w:eastAsia="Arial" w:cs="Arial"/>
          <w:spacing w:val="-1"/>
        </w:rPr>
        <w:t xml:space="preserve"> </w:t>
      </w:r>
      <w:r w:rsidR="40CAFB3C" w:rsidRPr="40CAFB3C">
        <w:rPr>
          <w:rStyle w:val="None"/>
          <w:rFonts w:eastAsia="Arial" w:cs="Arial"/>
        </w:rPr>
        <w:t>statement</w:t>
      </w:r>
      <w:r w:rsidR="40CAFB3C" w:rsidRPr="40CAFB3C">
        <w:rPr>
          <w:rStyle w:val="None"/>
          <w:rFonts w:eastAsia="Arial" w:cs="Arial"/>
          <w:spacing w:val="-1"/>
        </w:rPr>
        <w:t xml:space="preserve"> </w:t>
      </w:r>
      <w:r w:rsidR="40CAFB3C" w:rsidRPr="40CAFB3C">
        <w:rPr>
          <w:rStyle w:val="None"/>
          <w:rFonts w:eastAsia="Arial" w:cs="Arial"/>
        </w:rPr>
        <w:t>(up</w:t>
      </w:r>
      <w:r w:rsidR="40CAFB3C" w:rsidRPr="40CAFB3C">
        <w:rPr>
          <w:rStyle w:val="None"/>
          <w:rFonts w:eastAsia="Arial" w:cs="Arial"/>
          <w:spacing w:val="-1"/>
        </w:rPr>
        <w:t xml:space="preserve"> </w:t>
      </w:r>
      <w:r w:rsidR="40CAFB3C" w:rsidRPr="40CAFB3C">
        <w:rPr>
          <w:rStyle w:val="None"/>
          <w:rFonts w:eastAsia="Arial" w:cs="Arial"/>
        </w:rPr>
        <w:t>to</w:t>
      </w:r>
      <w:r w:rsidR="40CAFB3C" w:rsidRPr="40CAFB3C">
        <w:rPr>
          <w:rStyle w:val="None"/>
          <w:rFonts w:eastAsia="Arial" w:cs="Arial"/>
          <w:spacing w:val="-1"/>
        </w:rPr>
        <w:t xml:space="preserve"> </w:t>
      </w:r>
      <w:r w:rsidR="40CAFB3C" w:rsidRPr="40CAFB3C">
        <w:rPr>
          <w:rStyle w:val="None"/>
          <w:rFonts w:eastAsia="Arial" w:cs="Arial"/>
        </w:rPr>
        <w:t>one-and-one</w:t>
      </w:r>
      <w:r w:rsidR="40CAFB3C" w:rsidRPr="40CAFB3C">
        <w:rPr>
          <w:rStyle w:val="None"/>
          <w:rFonts w:eastAsia="Arial" w:cs="Arial"/>
          <w:spacing w:val="-1"/>
        </w:rPr>
        <w:t xml:space="preserve"> </w:t>
      </w:r>
      <w:r w:rsidR="40CAFB3C" w:rsidRPr="40CAFB3C">
        <w:rPr>
          <w:rStyle w:val="None"/>
          <w:rFonts w:eastAsia="Arial" w:cs="Arial"/>
        </w:rPr>
        <w:t>half</w:t>
      </w:r>
      <w:r w:rsidR="40CAFB3C" w:rsidRPr="40CAFB3C">
        <w:rPr>
          <w:rStyle w:val="None"/>
          <w:rFonts w:eastAsia="Arial" w:cs="Arial"/>
          <w:spacing w:val="-1"/>
        </w:rPr>
        <w:t xml:space="preserve"> </w:t>
      </w:r>
      <w:r w:rsidR="40CAFB3C" w:rsidRPr="40CAFB3C">
        <w:rPr>
          <w:rStyle w:val="None"/>
          <w:rFonts w:eastAsia="Arial" w:cs="Arial"/>
        </w:rPr>
        <w:t>pages in length) summarizing their program of research. This research statement may be the same as the research portion of the candidate’s narrative statement that will</w:t>
      </w:r>
      <w:r w:rsidR="40CAFB3C" w:rsidRPr="40CAFB3C">
        <w:rPr>
          <w:rStyle w:val="None"/>
          <w:rFonts w:eastAsia="Arial" w:cs="Arial"/>
          <w:spacing w:val="-1"/>
        </w:rPr>
        <w:t xml:space="preserve"> </w:t>
      </w:r>
      <w:r w:rsidR="40CAFB3C" w:rsidRPr="40CAFB3C">
        <w:rPr>
          <w:rStyle w:val="None"/>
          <w:rFonts w:eastAsia="Arial" w:cs="Arial"/>
        </w:rPr>
        <w:t>be part of the tenure and promotion dossier OR it may be a document that is tailored to the audience of potential reviewers.</w:t>
      </w:r>
    </w:p>
    <w:p w14:paraId="73B8FAEF" w14:textId="6EAE4CAD" w:rsidR="00D760E5" w:rsidRDefault="00D760E5" w:rsidP="40CAFB3C">
      <w:pPr>
        <w:ind w:left="360" w:right="30"/>
        <w:rPr>
          <w:rStyle w:val="None"/>
          <w:rFonts w:ascii="Arial" w:eastAsia="Arial" w:hAnsi="Arial" w:cs="Arial"/>
          <w:sz w:val="22"/>
          <w:szCs w:val="22"/>
        </w:rPr>
      </w:pPr>
    </w:p>
    <w:p w14:paraId="4553D1B4" w14:textId="13CCDF94" w:rsidR="00D760E5" w:rsidRDefault="40CAFB3C" w:rsidP="40CAFB3C">
      <w:pPr>
        <w:ind w:left="360" w:right="30" w:firstLine="720"/>
        <w:rPr>
          <w:rStyle w:val="None"/>
          <w:rFonts w:ascii="Arial" w:eastAsia="Arial" w:hAnsi="Arial" w:cs="Arial"/>
          <w:sz w:val="22"/>
          <w:szCs w:val="22"/>
        </w:rPr>
      </w:pPr>
      <w:r w:rsidRPr="40CAFB3C">
        <w:rPr>
          <w:rStyle w:val="None"/>
          <w:rFonts w:ascii="Arial" w:eastAsia="Arial" w:hAnsi="Arial" w:cs="Arial"/>
          <w:sz w:val="22"/>
          <w:szCs w:val="22"/>
        </w:rPr>
        <w:t xml:space="preserve">For candidates whose probationary period included calendar years 2020-21, </w:t>
      </w:r>
      <w:r w:rsidR="00000000">
        <w:tab/>
      </w:r>
    </w:p>
    <w:p w14:paraId="731B338C" w14:textId="7752ECE6"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consistent with University guidelines on the dossier narrative, the candidate can</w:t>
      </w:r>
    </w:p>
    <w:p w14:paraId="69550596" w14:textId="1ED4AF7E"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elect to explicitly describe the impact of the COVID pandemic on their research</w:t>
      </w:r>
    </w:p>
    <w:p w14:paraId="229ACF02" w14:textId="2761ABAD"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program in this research statement following University guidelines (found on the</w:t>
      </w:r>
    </w:p>
    <w:p w14:paraId="53D36395" w14:textId="0A45CF87"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sz w:val="22"/>
          <w:szCs w:val="22"/>
        </w:rPr>
        <w:t xml:space="preserve"> </w:t>
      </w:r>
      <w:hyperlink r:id="rId14" w:history="1">
        <w:r>
          <w:rPr>
            <w:rStyle w:val="Hyperlink5"/>
          </w:rPr>
          <w:t>VPFA Promotion and Tenure webpage</w:t>
        </w:r>
      </w:hyperlink>
      <w:r w:rsidRPr="40CAFB3C">
        <w:rPr>
          <w:rStyle w:val="None"/>
          <w:rFonts w:ascii="Arial" w:eastAsia="Arial" w:hAnsi="Arial" w:cs="Arial"/>
          <w:color w:val="000000"/>
          <w:sz w:val="22"/>
          <w:szCs w:val="22"/>
        </w:rPr>
        <w:t>). The research statement and CV sent to the</w:t>
      </w:r>
    </w:p>
    <w:p w14:paraId="1DDF4508" w14:textId="2849CB1F"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color w:val="000000"/>
          <w:sz w:val="22"/>
          <w:szCs w:val="22"/>
        </w:rPr>
        <w:t>external reviewers will be included later in the supplemental materials, not in the</w:t>
      </w:r>
    </w:p>
    <w:p w14:paraId="1DADF340" w14:textId="77777777" w:rsidR="00D760E5" w:rsidRDefault="40CAFB3C" w:rsidP="40CAFB3C">
      <w:pPr>
        <w:ind w:left="360" w:right="30" w:firstLine="720"/>
        <w:rPr>
          <w:rStyle w:val="None"/>
          <w:rFonts w:ascii="Arial" w:eastAsia="Arial" w:hAnsi="Arial" w:cs="Arial"/>
          <w:color w:val="000000"/>
          <w:sz w:val="22"/>
          <w:szCs w:val="22"/>
        </w:rPr>
      </w:pPr>
      <w:r w:rsidRPr="40CAFB3C">
        <w:rPr>
          <w:rStyle w:val="None"/>
          <w:rFonts w:ascii="Arial" w:eastAsia="Arial" w:hAnsi="Arial" w:cs="Arial"/>
          <w:color w:val="000000"/>
          <w:sz w:val="22"/>
          <w:szCs w:val="22"/>
        </w:rPr>
        <w:t>dossier itself.</w:t>
      </w:r>
    </w:p>
    <w:p w14:paraId="739E1863" w14:textId="7F7F96EE" w:rsidR="40CAFB3C" w:rsidRDefault="40CAFB3C" w:rsidP="40CAFB3C"/>
    <w:p w14:paraId="59EACBC3" w14:textId="77777777" w:rsidR="00D760E5" w:rsidRDefault="40CAFB3C">
      <w:pPr>
        <w:pStyle w:val="ListParagraph"/>
        <w:numPr>
          <w:ilvl w:val="1"/>
          <w:numId w:val="41"/>
        </w:numPr>
        <w:ind w:right="30"/>
        <w:jc w:val="left"/>
        <w:rPr>
          <w:rFonts w:eastAsia="Arial" w:cs="Arial"/>
        </w:rPr>
      </w:pPr>
      <w:r w:rsidRPr="40CAFB3C">
        <w:rPr>
          <w:rStyle w:val="None"/>
          <w:rFonts w:eastAsia="Arial" w:cs="Arial"/>
        </w:rPr>
        <w:t>Processing and Maintenance of Records</w:t>
      </w:r>
    </w:p>
    <w:p w14:paraId="04058864" w14:textId="0947737C" w:rsidR="40CAFB3C" w:rsidRDefault="40CAFB3C" w:rsidP="40CAFB3C">
      <w:pPr>
        <w:pStyle w:val="ListParagraph"/>
      </w:pPr>
    </w:p>
    <w:p w14:paraId="49B10910" w14:textId="77777777" w:rsidR="00D760E5" w:rsidRDefault="40CAFB3C" w:rsidP="40CAFB3C">
      <w:pPr>
        <w:pStyle w:val="ListParagraph"/>
        <w:numPr>
          <w:ilvl w:val="0"/>
          <w:numId w:val="3"/>
        </w:numPr>
        <w:ind w:right="30"/>
        <w:rPr>
          <w:rFonts w:eastAsia="Arial" w:cs="Arial"/>
          <w:i/>
          <w:iCs/>
        </w:rPr>
      </w:pPr>
      <w:r w:rsidRPr="40CAFB3C">
        <w:rPr>
          <w:rStyle w:val="None"/>
          <w:rFonts w:eastAsia="Arial" w:cs="Arial"/>
          <w:u w:val="single"/>
        </w:rPr>
        <w:t>Accessibility to file.</w:t>
      </w:r>
      <w:r w:rsidRPr="40CAFB3C">
        <w:rPr>
          <w:rStyle w:val="None"/>
          <w:rFonts w:eastAsia="Arial" w:cs="Arial"/>
        </w:rPr>
        <w:t xml:space="preserve"> Other than to appropriate committees and administrators, the dossier is not accessible to anyone except to the faculty member him/herself, subject to the restrictions cited in the </w:t>
      </w:r>
      <w:r w:rsidRPr="40CAFB3C">
        <w:rPr>
          <w:rStyle w:val="None"/>
          <w:rFonts w:eastAsia="Arial" w:cs="Arial"/>
          <w:i/>
          <w:iCs/>
        </w:rPr>
        <w:t xml:space="preserve">AC23 Administrative Guidelines, </w:t>
      </w:r>
      <w:r w:rsidRPr="40CAFB3C">
        <w:rPr>
          <w:rStyle w:val="None"/>
          <w:rFonts w:eastAsia="Arial" w:cs="Arial"/>
        </w:rPr>
        <w:t>and HR60</w:t>
      </w:r>
      <w:r w:rsidRPr="40CAFB3C">
        <w:rPr>
          <w:rStyle w:val="None"/>
          <w:rFonts w:eastAsia="Arial" w:cs="Arial"/>
          <w:i/>
          <w:iCs/>
        </w:rPr>
        <w:t>, Access to Personnel Files.</w:t>
      </w:r>
    </w:p>
    <w:p w14:paraId="74D0027C" w14:textId="44ACF8A3" w:rsidR="40CAFB3C" w:rsidRDefault="40CAFB3C" w:rsidP="40CAFB3C">
      <w:pPr>
        <w:pStyle w:val="ListParagraph"/>
      </w:pPr>
    </w:p>
    <w:p w14:paraId="54D4FCA3"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Privacy rights.</w:t>
      </w:r>
      <w:r w:rsidRPr="40CAFB3C">
        <w:rPr>
          <w:rStyle w:val="None"/>
          <w:rFonts w:eastAsia="Arial" w:cs="Arial"/>
        </w:rPr>
        <w:t xml:space="preserve"> Throughout the process, the privacy rights of individual candidates shall be respected.</w:t>
      </w:r>
    </w:p>
    <w:p w14:paraId="491A3117" w14:textId="1AE0FCA3" w:rsidR="40CAFB3C" w:rsidRDefault="40CAFB3C" w:rsidP="40CAFB3C">
      <w:pPr>
        <w:pStyle w:val="ListParagraph"/>
      </w:pPr>
    </w:p>
    <w:p w14:paraId="5E62698B"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Supplemental materials.</w:t>
      </w:r>
      <w:r w:rsidRPr="40CAFB3C">
        <w:rPr>
          <w:rStyle w:val="None"/>
          <w:rFonts w:eastAsia="Arial" w:cs="Arial"/>
        </w:rPr>
        <w:t xml:space="preserve"> When the dossier is forwarded to the next review level, supplemental materials (teaching portfolio, syllabi if a teaching portfolio with syllabi is not provided, books, copies of articles, reprints, materials sent to external reviewers, etc.) supporting the candidacy shall be retained by the Unit Head. This supporting material will be available for review by committees as well as the Dean.</w:t>
      </w:r>
    </w:p>
    <w:p w14:paraId="02E42216" w14:textId="69F2B551" w:rsidR="40CAFB3C" w:rsidRDefault="40CAFB3C" w:rsidP="40CAFB3C">
      <w:pPr>
        <w:pStyle w:val="ListParagraph"/>
      </w:pPr>
    </w:p>
    <w:p w14:paraId="6A1144E2"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Identification of special circumstances.</w:t>
      </w:r>
      <w:r w:rsidRPr="40CAFB3C">
        <w:rPr>
          <w:rStyle w:val="None"/>
          <w:rFonts w:eastAsia="Arial" w:cs="Arial"/>
        </w:rPr>
        <w:t xml:space="preserve"> Unit peer committee and Unit Head letters of evaluation should explicitly clarify any exceptions to the norm, special factors, or contradictory information in the dossier.</w:t>
      </w:r>
    </w:p>
    <w:p w14:paraId="14D3A5BF" w14:textId="0D56C8AA" w:rsidR="40CAFB3C" w:rsidRDefault="40CAFB3C" w:rsidP="40CAFB3C">
      <w:pPr>
        <w:pStyle w:val="ListParagraph"/>
      </w:pPr>
    </w:p>
    <w:p w14:paraId="62144AB5" w14:textId="77777777" w:rsidR="00D760E5" w:rsidRDefault="40CAFB3C" w:rsidP="40CAFB3C">
      <w:pPr>
        <w:pStyle w:val="ListParagraph"/>
        <w:numPr>
          <w:ilvl w:val="0"/>
          <w:numId w:val="3"/>
        </w:numPr>
        <w:ind w:right="30"/>
        <w:rPr>
          <w:rFonts w:eastAsia="Arial" w:cs="Arial"/>
        </w:rPr>
      </w:pPr>
      <w:r w:rsidRPr="006065C3">
        <w:rPr>
          <w:rStyle w:val="None"/>
          <w:u w:val="single"/>
        </w:rPr>
        <w:t>Joint appointments.</w:t>
      </w:r>
      <w:r w:rsidRPr="006065C3">
        <w:rPr>
          <w:rStyle w:val="None"/>
        </w:rPr>
        <w:t xml:space="preserve"> For faculty who are also budgeted in a unit beyond their tenure home (e.g., academic unit outside the College, a College center or University institute), the Head (or Director</w:t>
      </w:r>
      <w:r w:rsidRPr="40CAFB3C">
        <w:rPr>
          <w:rStyle w:val="None"/>
          <w:rFonts w:eastAsia="Arial" w:cs="Arial"/>
        </w:rPr>
        <w:t xml:space="preserve"> or Dean, if there are no departments [e.g., College of Nursing]) of the “secondary” unit shall be responsible for</w:t>
      </w:r>
      <w:r w:rsidRPr="40CAFB3C">
        <w:rPr>
          <w:rStyle w:val="None"/>
          <w:rFonts w:eastAsia="Arial" w:cs="Arial"/>
          <w:spacing w:val="-1"/>
        </w:rPr>
        <w:t xml:space="preserve"> </w:t>
      </w:r>
      <w:r w:rsidRPr="40CAFB3C">
        <w:rPr>
          <w:rStyle w:val="None"/>
          <w:rFonts w:eastAsia="Arial" w:cs="Arial"/>
        </w:rPr>
        <w:t>providing a written letter of evaluation which will be made</w:t>
      </w:r>
      <w:r w:rsidRPr="40CAFB3C">
        <w:rPr>
          <w:rStyle w:val="None"/>
          <w:rFonts w:eastAsia="Arial" w:cs="Arial"/>
          <w:spacing w:val="-1"/>
        </w:rPr>
        <w:t xml:space="preserve"> </w:t>
      </w:r>
      <w:r w:rsidRPr="40CAFB3C">
        <w:rPr>
          <w:rStyle w:val="None"/>
          <w:rFonts w:eastAsia="Arial" w:cs="Arial"/>
        </w:rPr>
        <w:t>a part of the dossier section, “Statements of Evaluation of the Candidate</w:t>
      </w:r>
      <w:r w:rsidRPr="40CAFB3C">
        <w:rPr>
          <w:rStyle w:val="None"/>
          <w:rFonts w:eastAsia="Arial" w:cs="Arial"/>
          <w:spacing w:val="-1"/>
        </w:rPr>
        <w:t xml:space="preserve"> </w:t>
      </w:r>
      <w:r w:rsidRPr="40CAFB3C">
        <w:rPr>
          <w:rStyle w:val="None"/>
          <w:rFonts w:eastAsia="Arial" w:cs="Arial"/>
        </w:rPr>
        <w:t xml:space="preserve">by Review Committees and Administrators.” The letter, solicited by the Head of the primary unit, will be considered by the Unit peer committee and the Unit Head along with all other applicable levels of review. </w:t>
      </w:r>
      <w:r w:rsidRPr="006065C3">
        <w:rPr>
          <w:rStyle w:val="None"/>
        </w:rPr>
        <w:t>The Head of the primary department should consult with the Head (or Director or Dean, if applicable) of the secondary unit when there is disagreement about the decision. The Dean of the primary college must consult with the Dean of any secondary college when applicable before writing their letter. The primary Dean should also copy any secondary Dean on all communications.</w:t>
      </w:r>
    </w:p>
    <w:p w14:paraId="5A39BBE3" w14:textId="77777777" w:rsidR="00D760E5" w:rsidRDefault="00D760E5" w:rsidP="40CAFB3C">
      <w:pPr>
        <w:pStyle w:val="ListParagraph"/>
        <w:tabs>
          <w:tab w:val="clear" w:pos="1636"/>
          <w:tab w:val="left" w:pos="1596"/>
        </w:tabs>
        <w:ind w:left="1595" w:right="30"/>
        <w:rPr>
          <w:rStyle w:val="None"/>
          <w:rFonts w:eastAsia="Arial" w:cs="Arial"/>
        </w:rPr>
      </w:pPr>
    </w:p>
    <w:p w14:paraId="11FE0A51" w14:textId="4921D08C" w:rsidR="00D760E5" w:rsidRDefault="40CAFB3C" w:rsidP="40CAFB3C">
      <w:pPr>
        <w:pStyle w:val="ListParagraph"/>
        <w:tabs>
          <w:tab w:val="clear" w:pos="1636"/>
          <w:tab w:val="left" w:pos="1596"/>
        </w:tabs>
        <w:ind w:left="720" w:right="30"/>
        <w:rPr>
          <w:rStyle w:val="None"/>
          <w:rFonts w:eastAsia="Arial" w:cs="Arial"/>
          <w:spacing w:val="-1"/>
        </w:rPr>
      </w:pPr>
      <w:r w:rsidRPr="40CAFB3C">
        <w:rPr>
          <w:rStyle w:val="None"/>
          <w:rFonts w:eastAsia="Arial" w:cs="Arial"/>
        </w:rPr>
        <w:t xml:space="preserve">For faculty who are not </w:t>
      </w:r>
      <w:r w:rsidR="68FD0D2E" w:rsidRPr="40CAFB3C">
        <w:rPr>
          <w:rStyle w:val="None"/>
          <w:rFonts w:eastAsia="Arial" w:cs="Arial"/>
        </w:rPr>
        <w:t>budgeted, but</w:t>
      </w:r>
      <w:r w:rsidRPr="40CAFB3C">
        <w:rPr>
          <w:rStyle w:val="None"/>
          <w:rFonts w:eastAsia="Arial" w:cs="Arial"/>
        </w:rPr>
        <w:t xml:space="preserve"> provide service in a unit beyond their tenure home, a letter may be provided and will be included in the appropriate criteria section of the dossier and not in the administrative </w:t>
      </w:r>
      <w:r w:rsidRPr="40CAFB3C">
        <w:rPr>
          <w:rStyle w:val="None"/>
          <w:rFonts w:eastAsia="Arial" w:cs="Arial"/>
          <w:spacing w:val="-1"/>
        </w:rPr>
        <w:t>section.</w:t>
      </w:r>
    </w:p>
    <w:p w14:paraId="608008D2" w14:textId="733EBB05" w:rsidR="40CAFB3C" w:rsidRDefault="40CAFB3C" w:rsidP="40CAFB3C">
      <w:pPr>
        <w:pStyle w:val="ListParagraph"/>
        <w:tabs>
          <w:tab w:val="clear" w:pos="1636"/>
          <w:tab w:val="left" w:pos="1596"/>
        </w:tabs>
      </w:pPr>
    </w:p>
    <w:p w14:paraId="1915D9AA" w14:textId="77777777" w:rsidR="00D760E5" w:rsidRDefault="40CAFB3C" w:rsidP="40CAFB3C">
      <w:pPr>
        <w:pStyle w:val="ListParagraph"/>
        <w:numPr>
          <w:ilvl w:val="0"/>
          <w:numId w:val="3"/>
        </w:numPr>
        <w:ind w:right="30"/>
        <w:rPr>
          <w:rFonts w:eastAsia="Arial" w:cs="Arial"/>
        </w:rPr>
      </w:pPr>
      <w:r w:rsidRPr="40CAFB3C">
        <w:rPr>
          <w:rStyle w:val="None"/>
          <w:rFonts w:eastAsia="Arial" w:cs="Arial"/>
          <w:u w:val="single"/>
        </w:rPr>
        <w:t>Distribution of evaluative statements</w:t>
      </w:r>
      <w:r w:rsidRPr="40CAFB3C">
        <w:rPr>
          <w:rStyle w:val="None"/>
          <w:rFonts w:eastAsia="Arial" w:cs="Arial"/>
        </w:rPr>
        <w:t>. Unit Heads shall receive copies of the written statements of evaluation and recommendations made at subsequent levels.</w:t>
      </w:r>
    </w:p>
    <w:p w14:paraId="72A3D3EC" w14:textId="77777777" w:rsidR="00D760E5" w:rsidRDefault="00D760E5" w:rsidP="40CAFB3C">
      <w:pPr>
        <w:pStyle w:val="Body"/>
        <w:tabs>
          <w:tab w:val="left" w:pos="1596"/>
        </w:tabs>
        <w:spacing w:after="120"/>
        <w:ind w:right="30"/>
        <w:rPr>
          <w:rStyle w:val="None"/>
          <w:rFonts w:eastAsia="Arial" w:cs="Arial"/>
          <w:sz w:val="22"/>
          <w:szCs w:val="22"/>
        </w:rPr>
      </w:pPr>
    </w:p>
    <w:p w14:paraId="4F974B36" w14:textId="0BCA7F9E" w:rsidR="00D760E5" w:rsidRDefault="16A61C4D" w:rsidP="40CAFB3C">
      <w:pPr>
        <w:ind w:right="30"/>
        <w:rPr>
          <w:rFonts w:ascii="Arial" w:eastAsia="Arial" w:hAnsi="Arial" w:cs="Arial"/>
          <w:b/>
          <w:bCs/>
          <w:sz w:val="22"/>
          <w:szCs w:val="22"/>
        </w:rPr>
      </w:pPr>
      <w:r w:rsidRPr="40CAFB3C">
        <w:rPr>
          <w:rStyle w:val="None"/>
          <w:rFonts w:ascii="Arial" w:eastAsia="Arial" w:hAnsi="Arial" w:cs="Arial"/>
          <w:b/>
          <w:bCs/>
          <w:sz w:val="22"/>
          <w:szCs w:val="22"/>
        </w:rPr>
        <w:t xml:space="preserve">IV. </w:t>
      </w:r>
      <w:r w:rsidR="40CAFB3C" w:rsidRPr="40CAFB3C">
        <w:rPr>
          <w:rStyle w:val="None"/>
          <w:rFonts w:ascii="Arial" w:eastAsia="Arial" w:hAnsi="Arial" w:cs="Arial"/>
          <w:b/>
          <w:bCs/>
          <w:sz w:val="22"/>
          <w:szCs w:val="22"/>
        </w:rPr>
        <w:t>Feedback to the Candidate and Academic Administrators</w:t>
      </w:r>
    </w:p>
    <w:p w14:paraId="0C55ED93" w14:textId="69B38671" w:rsidR="40CAFB3C" w:rsidRDefault="40CAFB3C" w:rsidP="40CAFB3C"/>
    <w:p w14:paraId="33F55BF2" w14:textId="77777777" w:rsidR="00D760E5" w:rsidRDefault="40CAFB3C">
      <w:pPr>
        <w:pStyle w:val="ListParagraph"/>
        <w:numPr>
          <w:ilvl w:val="0"/>
          <w:numId w:val="43"/>
        </w:numPr>
        <w:ind w:right="30"/>
        <w:jc w:val="left"/>
        <w:rPr>
          <w:rFonts w:eastAsia="Arial" w:cs="Arial"/>
        </w:rPr>
      </w:pPr>
      <w:r w:rsidRPr="40CAFB3C">
        <w:rPr>
          <w:rStyle w:val="None"/>
          <w:rFonts w:eastAsia="Arial" w:cs="Arial"/>
        </w:rPr>
        <w:t>After sixth-year, early tenure, tenure or promotion only reviews:</w:t>
      </w:r>
    </w:p>
    <w:p w14:paraId="31B5C95D" w14:textId="77A1DCC2" w:rsidR="40CAFB3C" w:rsidRDefault="40CAFB3C" w:rsidP="40CAFB3C">
      <w:pPr>
        <w:pStyle w:val="ListParagraph"/>
      </w:pPr>
    </w:p>
    <w:p w14:paraId="09E9F256" w14:textId="77777777" w:rsidR="00D760E5" w:rsidRDefault="40CAFB3C" w:rsidP="40CAFB3C">
      <w:pPr>
        <w:pStyle w:val="BodyText"/>
        <w:numPr>
          <w:ilvl w:val="1"/>
          <w:numId w:val="2"/>
        </w:numPr>
        <w:spacing w:after="120"/>
        <w:ind w:right="30"/>
        <w:jc w:val="both"/>
        <w:rPr>
          <w:rFonts w:eastAsia="Arial" w:cs="Arial"/>
          <w:sz w:val="22"/>
          <w:szCs w:val="22"/>
        </w:rPr>
      </w:pPr>
      <w:r w:rsidRPr="40CAFB3C">
        <w:rPr>
          <w:rStyle w:val="None"/>
          <w:rFonts w:eastAsia="Arial" w:cs="Arial"/>
          <w:sz w:val="22"/>
          <w:szCs w:val="22"/>
        </w:rPr>
        <w:t>Successful candidates</w:t>
      </w:r>
      <w:r w:rsidRPr="40CAFB3C">
        <w:rPr>
          <w:rStyle w:val="None"/>
          <w:rFonts w:eastAsia="Arial" w:cs="Arial"/>
          <w:spacing w:val="-1"/>
          <w:sz w:val="22"/>
          <w:szCs w:val="22"/>
        </w:rPr>
        <w:t xml:space="preserve"> </w:t>
      </w:r>
      <w:r w:rsidRPr="40CAFB3C">
        <w:rPr>
          <w:rStyle w:val="None"/>
          <w:rFonts w:eastAsia="Arial" w:cs="Arial"/>
          <w:sz w:val="22"/>
          <w:szCs w:val="22"/>
        </w:rPr>
        <w:t>will receive the President’s decision letter in early May.</w:t>
      </w:r>
      <w:r w:rsidRPr="40CAFB3C">
        <w:rPr>
          <w:rStyle w:val="None"/>
          <w:rFonts w:eastAsia="Arial" w:cs="Arial"/>
          <w:spacing w:val="-3"/>
          <w:sz w:val="22"/>
          <w:szCs w:val="22"/>
        </w:rPr>
        <w:t xml:space="preserve"> </w:t>
      </w:r>
      <w:r w:rsidRPr="40CAFB3C">
        <w:rPr>
          <w:rStyle w:val="None"/>
          <w:rFonts w:eastAsia="Arial" w:cs="Arial"/>
          <w:sz w:val="22"/>
          <w:szCs w:val="22"/>
        </w:rPr>
        <w:t>Unit</w:t>
      </w:r>
      <w:r w:rsidRPr="40CAFB3C">
        <w:rPr>
          <w:rStyle w:val="None"/>
          <w:rFonts w:eastAsia="Arial" w:cs="Arial"/>
          <w:spacing w:val="-3"/>
          <w:sz w:val="22"/>
          <w:szCs w:val="22"/>
        </w:rPr>
        <w:t xml:space="preserve"> </w:t>
      </w:r>
      <w:r w:rsidRPr="40CAFB3C">
        <w:rPr>
          <w:rStyle w:val="None"/>
          <w:rFonts w:eastAsia="Arial" w:cs="Arial"/>
          <w:sz w:val="22"/>
          <w:szCs w:val="22"/>
        </w:rPr>
        <w:t>Heads</w:t>
      </w:r>
      <w:r w:rsidRPr="40CAFB3C">
        <w:rPr>
          <w:rStyle w:val="None"/>
          <w:rFonts w:eastAsia="Arial" w:cs="Arial"/>
          <w:spacing w:val="-3"/>
          <w:sz w:val="22"/>
          <w:szCs w:val="22"/>
        </w:rPr>
        <w:t xml:space="preserve"> </w:t>
      </w:r>
      <w:r w:rsidRPr="40CAFB3C">
        <w:rPr>
          <w:rStyle w:val="None"/>
          <w:rFonts w:eastAsia="Arial" w:cs="Arial"/>
          <w:sz w:val="22"/>
          <w:szCs w:val="22"/>
        </w:rPr>
        <w:t>will</w:t>
      </w:r>
      <w:r w:rsidRPr="40CAFB3C">
        <w:rPr>
          <w:rStyle w:val="None"/>
          <w:rFonts w:eastAsia="Arial" w:cs="Arial"/>
          <w:spacing w:val="-3"/>
          <w:sz w:val="22"/>
          <w:szCs w:val="22"/>
        </w:rPr>
        <w:t xml:space="preserve"> </w:t>
      </w:r>
      <w:r w:rsidRPr="40CAFB3C">
        <w:rPr>
          <w:rStyle w:val="None"/>
          <w:rFonts w:eastAsia="Arial" w:cs="Arial"/>
          <w:sz w:val="22"/>
          <w:szCs w:val="22"/>
        </w:rPr>
        <w:t>receive</w:t>
      </w:r>
      <w:r w:rsidRPr="40CAFB3C">
        <w:rPr>
          <w:rStyle w:val="None"/>
          <w:rFonts w:eastAsia="Arial" w:cs="Arial"/>
          <w:spacing w:val="-3"/>
          <w:sz w:val="22"/>
          <w:szCs w:val="22"/>
        </w:rPr>
        <w:t xml:space="preserve"> </w:t>
      </w:r>
      <w:r w:rsidRPr="40CAFB3C">
        <w:rPr>
          <w:rStyle w:val="None"/>
          <w:rFonts w:eastAsia="Arial" w:cs="Arial"/>
          <w:sz w:val="22"/>
          <w:szCs w:val="22"/>
        </w:rPr>
        <w:t>copies</w:t>
      </w:r>
      <w:r w:rsidRPr="40CAFB3C">
        <w:rPr>
          <w:rStyle w:val="None"/>
          <w:rFonts w:eastAsia="Arial" w:cs="Arial"/>
          <w:spacing w:val="-3"/>
          <w:sz w:val="22"/>
          <w:szCs w:val="22"/>
        </w:rPr>
        <w:t xml:space="preserve"> </w:t>
      </w:r>
      <w:r w:rsidRPr="40CAFB3C">
        <w:rPr>
          <w:rStyle w:val="None"/>
          <w:rFonts w:eastAsia="Arial" w:cs="Arial"/>
          <w:sz w:val="22"/>
          <w:szCs w:val="22"/>
        </w:rPr>
        <w:t>of</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3"/>
          <w:sz w:val="22"/>
          <w:szCs w:val="22"/>
        </w:rPr>
        <w:t xml:space="preserve"> </w:t>
      </w:r>
      <w:r w:rsidRPr="40CAFB3C">
        <w:rPr>
          <w:rStyle w:val="None"/>
          <w:rFonts w:eastAsia="Arial" w:cs="Arial"/>
          <w:sz w:val="22"/>
          <w:szCs w:val="22"/>
        </w:rPr>
        <w:t>College</w:t>
      </w:r>
      <w:r w:rsidRPr="40CAFB3C">
        <w:rPr>
          <w:rStyle w:val="None"/>
          <w:rFonts w:eastAsia="Arial" w:cs="Arial"/>
          <w:spacing w:val="-3"/>
          <w:sz w:val="22"/>
          <w:szCs w:val="22"/>
        </w:rPr>
        <w:t xml:space="preserve"> </w:t>
      </w:r>
      <w:r w:rsidRPr="40CAFB3C">
        <w:rPr>
          <w:rStyle w:val="None"/>
          <w:rFonts w:eastAsia="Arial" w:cs="Arial"/>
          <w:sz w:val="22"/>
          <w:szCs w:val="22"/>
        </w:rPr>
        <w:t>Committee</w:t>
      </w:r>
      <w:r w:rsidRPr="40CAFB3C">
        <w:rPr>
          <w:rStyle w:val="None"/>
          <w:rFonts w:eastAsia="Arial" w:cs="Arial"/>
          <w:spacing w:val="-3"/>
          <w:sz w:val="22"/>
          <w:szCs w:val="22"/>
        </w:rPr>
        <w:t xml:space="preserve"> </w:t>
      </w:r>
      <w:r w:rsidRPr="40CAFB3C">
        <w:rPr>
          <w:rStyle w:val="None"/>
          <w:rFonts w:eastAsia="Arial" w:cs="Arial"/>
          <w:sz w:val="22"/>
          <w:szCs w:val="22"/>
        </w:rPr>
        <w:t>report</w:t>
      </w:r>
      <w:r w:rsidRPr="40CAFB3C">
        <w:rPr>
          <w:rStyle w:val="None"/>
          <w:rFonts w:eastAsia="Arial" w:cs="Arial"/>
          <w:spacing w:val="-6"/>
          <w:sz w:val="22"/>
          <w:szCs w:val="22"/>
        </w:rPr>
        <w:t xml:space="preserve"> </w:t>
      </w:r>
      <w:r w:rsidRPr="40CAFB3C">
        <w:rPr>
          <w:rStyle w:val="None"/>
          <w:rFonts w:eastAsia="Arial" w:cs="Arial"/>
          <w:sz w:val="22"/>
          <w:szCs w:val="22"/>
        </w:rPr>
        <w:t xml:space="preserve">and the Dean’s and President’s letters. University policy does not oblige unit Heads to meet with the faculty members nor should they automatically share the reports with the candidates. However, the college strongly encourages Unit Heads to meet with successful candidates and, as noted in C below, in accordance with HR60, candidates may request to review all aspects of their life (except for external reviewers), including these </w:t>
      </w:r>
      <w:r w:rsidRPr="40CAFB3C">
        <w:rPr>
          <w:rStyle w:val="None"/>
          <w:rFonts w:eastAsia="Arial" w:cs="Arial"/>
          <w:spacing w:val="-1"/>
          <w:sz w:val="22"/>
          <w:szCs w:val="22"/>
        </w:rPr>
        <w:t>reports.</w:t>
      </w:r>
    </w:p>
    <w:p w14:paraId="419FA56C" w14:textId="77777777" w:rsidR="00D760E5" w:rsidRDefault="40CAFB3C" w:rsidP="40CAFB3C">
      <w:pPr>
        <w:pStyle w:val="ListParagraph"/>
        <w:numPr>
          <w:ilvl w:val="1"/>
          <w:numId w:val="2"/>
        </w:numPr>
        <w:ind w:right="30"/>
        <w:rPr>
          <w:rFonts w:eastAsia="Arial" w:cs="Arial"/>
        </w:rPr>
      </w:pPr>
      <w:r w:rsidRPr="40CAFB3C">
        <w:rPr>
          <w:rStyle w:val="None"/>
          <w:rFonts w:eastAsia="Arial" w:cs="Arial"/>
        </w:rPr>
        <w:t>The Dean has responsibility for informing, in writing, no later than March 1, those candidates who did not receive a positive tenure and/or promotion recommendation at the college level. Unit Heads will receive copies of the College Committee report and Dean’s letters. University policy does not oblige Unit Heads to meet with the faculty member and review all of the reports, nor should they automatically share</w:t>
      </w:r>
      <w:r w:rsidRPr="40CAFB3C">
        <w:rPr>
          <w:rStyle w:val="None"/>
          <w:rFonts w:eastAsia="Arial" w:cs="Arial"/>
          <w:spacing w:val="-1"/>
        </w:rPr>
        <w:t xml:space="preserve"> </w:t>
      </w:r>
      <w:r w:rsidRPr="40CAFB3C">
        <w:rPr>
          <w:rStyle w:val="None"/>
          <w:rFonts w:eastAsia="Arial" w:cs="Arial"/>
        </w:rPr>
        <w:t>the reports with</w:t>
      </w:r>
      <w:r w:rsidRPr="40CAFB3C">
        <w:rPr>
          <w:rStyle w:val="None"/>
          <w:rFonts w:eastAsia="Arial" w:cs="Arial"/>
          <w:spacing w:val="-1"/>
        </w:rPr>
        <w:t xml:space="preserve"> </w:t>
      </w:r>
      <w:r w:rsidRPr="40CAFB3C">
        <w:rPr>
          <w:rStyle w:val="None"/>
          <w:rFonts w:eastAsia="Arial" w:cs="Arial"/>
        </w:rPr>
        <w:t xml:space="preserve">the candidates. However, the college strongly encourages Unit Heads to meet with unsuccessful candidates and, as noted in C below. In accordance with HR60, candidates may request to review all aspects of </w:t>
      </w:r>
      <w:r w:rsidRPr="40CAFB3C">
        <w:rPr>
          <w:rStyle w:val="None"/>
          <w:rFonts w:eastAsia="Arial" w:cs="Arial"/>
        </w:rPr>
        <w:lastRenderedPageBreak/>
        <w:t>the file (except for external reviews), including these reports.</w:t>
      </w:r>
    </w:p>
    <w:p w14:paraId="5DAEFD8F" w14:textId="65FEF816" w:rsidR="40CAFB3C" w:rsidRDefault="40CAFB3C" w:rsidP="40CAFB3C">
      <w:pPr>
        <w:pStyle w:val="ListParagraph"/>
      </w:pPr>
    </w:p>
    <w:p w14:paraId="75C55204" w14:textId="77777777" w:rsidR="00D760E5" w:rsidRDefault="40CAFB3C">
      <w:pPr>
        <w:pStyle w:val="ListParagraph"/>
        <w:numPr>
          <w:ilvl w:val="0"/>
          <w:numId w:val="45"/>
        </w:numPr>
        <w:ind w:right="30"/>
        <w:jc w:val="left"/>
        <w:rPr>
          <w:rFonts w:eastAsia="Arial" w:cs="Arial"/>
        </w:rPr>
      </w:pPr>
      <w:r w:rsidRPr="40CAFB3C">
        <w:rPr>
          <w:rStyle w:val="None"/>
          <w:rFonts w:eastAsia="Arial" w:cs="Arial"/>
        </w:rPr>
        <w:t>After second-year, fourth-year, and any off-cycle reviews</w:t>
      </w:r>
    </w:p>
    <w:p w14:paraId="717CD742" w14:textId="12EF87EE" w:rsidR="40CAFB3C" w:rsidRDefault="40CAFB3C" w:rsidP="40CAFB3C">
      <w:pPr>
        <w:pStyle w:val="ListParagraph"/>
      </w:pPr>
    </w:p>
    <w:p w14:paraId="1195DAD6" w14:textId="77777777" w:rsidR="00D760E5" w:rsidRDefault="40CAFB3C" w:rsidP="40CAFB3C">
      <w:pPr>
        <w:pStyle w:val="BodyText"/>
        <w:numPr>
          <w:ilvl w:val="0"/>
          <w:numId w:val="1"/>
        </w:numPr>
        <w:spacing w:after="120"/>
        <w:ind w:right="29"/>
        <w:jc w:val="both"/>
        <w:rPr>
          <w:rFonts w:eastAsia="Arial" w:cs="Arial"/>
          <w:sz w:val="22"/>
          <w:szCs w:val="22"/>
        </w:rPr>
      </w:pPr>
      <w:r w:rsidRPr="40CAFB3C">
        <w:rPr>
          <w:rStyle w:val="None"/>
          <w:rFonts w:eastAsia="Arial" w:cs="Arial"/>
          <w:sz w:val="22"/>
          <w:szCs w:val="22"/>
        </w:rPr>
        <w:t>A</w:t>
      </w:r>
      <w:r w:rsidRPr="40CAFB3C">
        <w:rPr>
          <w:rStyle w:val="None"/>
          <w:rFonts w:eastAsia="Arial" w:cs="Arial"/>
          <w:spacing w:val="-6"/>
          <w:sz w:val="22"/>
          <w:szCs w:val="22"/>
        </w:rPr>
        <w:t xml:space="preserve"> </w:t>
      </w:r>
      <w:r w:rsidRPr="40CAFB3C">
        <w:rPr>
          <w:rStyle w:val="None"/>
          <w:rFonts w:eastAsia="Arial" w:cs="Arial"/>
          <w:sz w:val="22"/>
          <w:szCs w:val="22"/>
        </w:rPr>
        <w:t>letter</w:t>
      </w:r>
      <w:r w:rsidRPr="40CAFB3C">
        <w:rPr>
          <w:rStyle w:val="None"/>
          <w:rFonts w:eastAsia="Arial" w:cs="Arial"/>
          <w:spacing w:val="-15"/>
          <w:sz w:val="22"/>
          <w:szCs w:val="22"/>
        </w:rPr>
        <w:t xml:space="preserve"> </w:t>
      </w:r>
      <w:r w:rsidRPr="40CAFB3C">
        <w:rPr>
          <w:rStyle w:val="None"/>
          <w:rFonts w:eastAsia="Arial" w:cs="Arial"/>
          <w:sz w:val="22"/>
          <w:szCs w:val="22"/>
        </w:rPr>
        <w:t>from</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6"/>
          <w:sz w:val="22"/>
          <w:szCs w:val="22"/>
        </w:rPr>
        <w:t xml:space="preserve"> </w:t>
      </w:r>
      <w:r w:rsidRPr="40CAFB3C">
        <w:rPr>
          <w:rStyle w:val="None"/>
          <w:rFonts w:eastAsia="Arial" w:cs="Arial"/>
          <w:sz w:val="22"/>
          <w:szCs w:val="22"/>
        </w:rPr>
        <w:t>Dean</w:t>
      </w:r>
      <w:r w:rsidRPr="40CAFB3C">
        <w:rPr>
          <w:rStyle w:val="None"/>
          <w:rFonts w:eastAsia="Arial" w:cs="Arial"/>
          <w:spacing w:val="-11"/>
          <w:sz w:val="22"/>
          <w:szCs w:val="22"/>
        </w:rPr>
        <w:t xml:space="preserve"> </w:t>
      </w:r>
      <w:r w:rsidRPr="40CAFB3C">
        <w:rPr>
          <w:rStyle w:val="None"/>
          <w:rFonts w:eastAsia="Arial" w:cs="Arial"/>
          <w:sz w:val="22"/>
          <w:szCs w:val="22"/>
        </w:rPr>
        <w:t>to</w:t>
      </w:r>
      <w:r w:rsidRPr="40CAFB3C">
        <w:rPr>
          <w:rStyle w:val="None"/>
          <w:rFonts w:eastAsia="Arial" w:cs="Arial"/>
          <w:spacing w:val="-3"/>
          <w:sz w:val="22"/>
          <w:szCs w:val="22"/>
        </w:rPr>
        <w:t xml:space="preserve"> </w:t>
      </w:r>
      <w:r w:rsidRPr="40CAFB3C">
        <w:rPr>
          <w:rStyle w:val="None"/>
          <w:rFonts w:eastAsia="Arial" w:cs="Arial"/>
          <w:sz w:val="22"/>
          <w:szCs w:val="22"/>
        </w:rPr>
        <w:t>the</w:t>
      </w:r>
      <w:r w:rsidRPr="40CAFB3C">
        <w:rPr>
          <w:rStyle w:val="None"/>
          <w:rFonts w:eastAsia="Arial" w:cs="Arial"/>
          <w:spacing w:val="-3"/>
          <w:sz w:val="22"/>
          <w:szCs w:val="22"/>
        </w:rPr>
        <w:t xml:space="preserve"> </w:t>
      </w:r>
      <w:r w:rsidRPr="40CAFB3C">
        <w:rPr>
          <w:rStyle w:val="None"/>
          <w:rFonts w:eastAsia="Arial" w:cs="Arial"/>
          <w:sz w:val="22"/>
          <w:szCs w:val="22"/>
        </w:rPr>
        <w:t>candidate</w:t>
      </w:r>
      <w:r w:rsidRPr="40CAFB3C">
        <w:rPr>
          <w:rStyle w:val="None"/>
          <w:rFonts w:eastAsia="Arial" w:cs="Arial"/>
          <w:spacing w:val="-6"/>
          <w:sz w:val="22"/>
          <w:szCs w:val="22"/>
        </w:rPr>
        <w:t xml:space="preserve"> </w:t>
      </w:r>
      <w:r w:rsidRPr="40CAFB3C">
        <w:rPr>
          <w:rStyle w:val="None"/>
          <w:rFonts w:eastAsia="Arial" w:cs="Arial"/>
          <w:sz w:val="22"/>
          <w:szCs w:val="22"/>
        </w:rPr>
        <w:t>serves</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7"/>
          <w:sz w:val="22"/>
          <w:szCs w:val="22"/>
        </w:rPr>
        <w:t xml:space="preserve"> </w:t>
      </w:r>
      <w:r w:rsidRPr="40CAFB3C">
        <w:rPr>
          <w:rStyle w:val="None"/>
          <w:rFonts w:eastAsia="Arial" w:cs="Arial"/>
          <w:sz w:val="22"/>
          <w:szCs w:val="22"/>
        </w:rPr>
        <w:t>the</w:t>
      </w:r>
      <w:r w:rsidRPr="40CAFB3C">
        <w:rPr>
          <w:rStyle w:val="None"/>
          <w:rFonts w:eastAsia="Arial" w:cs="Arial"/>
          <w:spacing w:val="-6"/>
          <w:sz w:val="22"/>
          <w:szCs w:val="22"/>
        </w:rPr>
        <w:t xml:space="preserve"> </w:t>
      </w:r>
      <w:r w:rsidRPr="40CAFB3C">
        <w:rPr>
          <w:rStyle w:val="None"/>
          <w:rFonts w:eastAsia="Arial" w:cs="Arial"/>
          <w:sz w:val="22"/>
          <w:szCs w:val="22"/>
        </w:rPr>
        <w:t>Dean’s</w:t>
      </w:r>
      <w:r w:rsidRPr="40CAFB3C">
        <w:rPr>
          <w:rStyle w:val="None"/>
          <w:rFonts w:eastAsia="Arial" w:cs="Arial"/>
          <w:spacing w:val="-7"/>
          <w:sz w:val="22"/>
          <w:szCs w:val="22"/>
        </w:rPr>
        <w:t xml:space="preserve"> </w:t>
      </w:r>
      <w:r w:rsidRPr="40CAFB3C">
        <w:rPr>
          <w:rStyle w:val="None"/>
          <w:rFonts w:eastAsia="Arial" w:cs="Arial"/>
          <w:sz w:val="22"/>
          <w:szCs w:val="22"/>
        </w:rPr>
        <w:t>report</w:t>
      </w:r>
      <w:r w:rsidRPr="40CAFB3C">
        <w:rPr>
          <w:rStyle w:val="None"/>
          <w:rFonts w:eastAsia="Arial" w:cs="Arial"/>
          <w:spacing w:val="-9"/>
          <w:sz w:val="22"/>
          <w:szCs w:val="22"/>
        </w:rPr>
        <w:t xml:space="preserve"> </w:t>
      </w:r>
      <w:r w:rsidRPr="40CAFB3C">
        <w:rPr>
          <w:rStyle w:val="None"/>
          <w:rFonts w:eastAsia="Arial" w:cs="Arial"/>
          <w:sz w:val="22"/>
          <w:szCs w:val="22"/>
        </w:rPr>
        <w:t>and</w:t>
      </w:r>
      <w:r w:rsidRPr="40CAFB3C">
        <w:rPr>
          <w:rStyle w:val="None"/>
          <w:rFonts w:eastAsia="Arial" w:cs="Arial"/>
          <w:spacing w:val="-3"/>
          <w:sz w:val="22"/>
          <w:szCs w:val="22"/>
        </w:rPr>
        <w:t xml:space="preserve"> </w:t>
      </w:r>
      <w:r w:rsidRPr="40CAFB3C">
        <w:rPr>
          <w:rStyle w:val="None"/>
          <w:rFonts w:eastAsia="Arial" w:cs="Arial"/>
          <w:sz w:val="22"/>
          <w:szCs w:val="22"/>
        </w:rPr>
        <w:t>will complete the review process. The Dean’s letter provides a summary of conclusions from the dean’s review and informs the candidate whether or not</w:t>
      </w:r>
      <w:r w:rsidRPr="40CAFB3C">
        <w:rPr>
          <w:rStyle w:val="None"/>
          <w:rFonts w:eastAsia="Arial" w:cs="Arial"/>
          <w:spacing w:val="-17"/>
          <w:sz w:val="22"/>
          <w:szCs w:val="22"/>
        </w:rPr>
        <w:t xml:space="preserve"> </w:t>
      </w:r>
      <w:r w:rsidRPr="40CAFB3C">
        <w:rPr>
          <w:rStyle w:val="None"/>
          <w:rFonts w:eastAsia="Arial" w:cs="Arial"/>
          <w:sz w:val="22"/>
          <w:szCs w:val="22"/>
        </w:rPr>
        <w:t>they</w:t>
      </w:r>
      <w:r w:rsidRPr="40CAFB3C">
        <w:rPr>
          <w:rStyle w:val="None"/>
          <w:rFonts w:eastAsia="Arial" w:cs="Arial"/>
          <w:spacing w:val="-17"/>
          <w:sz w:val="22"/>
          <w:szCs w:val="22"/>
        </w:rPr>
        <w:t xml:space="preserve"> </w:t>
      </w:r>
      <w:r w:rsidRPr="40CAFB3C">
        <w:rPr>
          <w:rStyle w:val="None"/>
          <w:rFonts w:eastAsia="Arial" w:cs="Arial"/>
          <w:sz w:val="22"/>
          <w:szCs w:val="22"/>
        </w:rPr>
        <w:t>will</w:t>
      </w:r>
      <w:r w:rsidRPr="40CAFB3C">
        <w:rPr>
          <w:rStyle w:val="None"/>
          <w:rFonts w:eastAsia="Arial" w:cs="Arial"/>
          <w:spacing w:val="-14"/>
          <w:sz w:val="22"/>
          <w:szCs w:val="22"/>
        </w:rPr>
        <w:t xml:space="preserve"> </w:t>
      </w:r>
      <w:r w:rsidRPr="40CAFB3C">
        <w:rPr>
          <w:rStyle w:val="None"/>
          <w:rFonts w:eastAsia="Arial" w:cs="Arial"/>
          <w:sz w:val="22"/>
          <w:szCs w:val="22"/>
        </w:rPr>
        <w:t>be</w:t>
      </w:r>
      <w:r w:rsidRPr="40CAFB3C">
        <w:rPr>
          <w:rStyle w:val="None"/>
          <w:rFonts w:eastAsia="Arial" w:cs="Arial"/>
          <w:spacing w:val="-14"/>
          <w:sz w:val="22"/>
          <w:szCs w:val="22"/>
        </w:rPr>
        <w:t xml:space="preserve"> </w:t>
      </w:r>
      <w:r w:rsidRPr="40CAFB3C">
        <w:rPr>
          <w:rStyle w:val="None"/>
          <w:rFonts w:eastAsia="Arial" w:cs="Arial"/>
          <w:sz w:val="22"/>
          <w:szCs w:val="22"/>
        </w:rPr>
        <w:t>continued</w:t>
      </w:r>
      <w:r w:rsidRPr="40CAFB3C">
        <w:rPr>
          <w:rStyle w:val="None"/>
          <w:rFonts w:eastAsia="Arial" w:cs="Arial"/>
          <w:spacing w:val="-14"/>
          <w:sz w:val="22"/>
          <w:szCs w:val="22"/>
        </w:rPr>
        <w:t xml:space="preserve"> </w:t>
      </w:r>
      <w:r w:rsidRPr="40CAFB3C">
        <w:rPr>
          <w:rStyle w:val="None"/>
          <w:rFonts w:eastAsia="Arial" w:cs="Arial"/>
          <w:sz w:val="22"/>
          <w:szCs w:val="22"/>
        </w:rPr>
        <w:t>on</w:t>
      </w:r>
      <w:r w:rsidRPr="40CAFB3C">
        <w:rPr>
          <w:rStyle w:val="None"/>
          <w:rFonts w:eastAsia="Arial" w:cs="Arial"/>
          <w:spacing w:val="-14"/>
          <w:sz w:val="22"/>
          <w:szCs w:val="22"/>
        </w:rPr>
        <w:t xml:space="preserve"> </w:t>
      </w:r>
      <w:r w:rsidRPr="40CAFB3C">
        <w:rPr>
          <w:rStyle w:val="None"/>
          <w:rFonts w:eastAsia="Arial" w:cs="Arial"/>
          <w:sz w:val="22"/>
          <w:szCs w:val="22"/>
        </w:rPr>
        <w:t>the</w:t>
      </w:r>
      <w:r w:rsidRPr="40CAFB3C">
        <w:rPr>
          <w:rStyle w:val="None"/>
          <w:rFonts w:eastAsia="Arial" w:cs="Arial"/>
          <w:spacing w:val="-14"/>
          <w:sz w:val="22"/>
          <w:szCs w:val="22"/>
        </w:rPr>
        <w:t xml:space="preserve"> </w:t>
      </w:r>
      <w:r w:rsidRPr="40CAFB3C">
        <w:rPr>
          <w:rStyle w:val="None"/>
          <w:rFonts w:eastAsia="Arial" w:cs="Arial"/>
          <w:sz w:val="22"/>
          <w:szCs w:val="22"/>
        </w:rPr>
        <w:t>tenure</w:t>
      </w:r>
      <w:r w:rsidRPr="40CAFB3C">
        <w:rPr>
          <w:rStyle w:val="None"/>
          <w:rFonts w:eastAsia="Arial" w:cs="Arial"/>
          <w:spacing w:val="-14"/>
          <w:sz w:val="22"/>
          <w:szCs w:val="22"/>
        </w:rPr>
        <w:t xml:space="preserve"> </w:t>
      </w:r>
      <w:r w:rsidRPr="40CAFB3C">
        <w:rPr>
          <w:rStyle w:val="None"/>
          <w:rFonts w:eastAsia="Arial" w:cs="Arial"/>
          <w:sz w:val="22"/>
          <w:szCs w:val="22"/>
        </w:rPr>
        <w:t>track.</w:t>
      </w:r>
      <w:r w:rsidRPr="40CAFB3C">
        <w:rPr>
          <w:rStyle w:val="None"/>
          <w:rFonts w:eastAsia="Arial" w:cs="Arial"/>
          <w:spacing w:val="-12"/>
          <w:sz w:val="22"/>
          <w:szCs w:val="22"/>
        </w:rPr>
        <w:t xml:space="preserve"> </w:t>
      </w:r>
      <w:r w:rsidRPr="40CAFB3C">
        <w:rPr>
          <w:rStyle w:val="None"/>
          <w:rFonts w:eastAsia="Arial" w:cs="Arial"/>
          <w:sz w:val="22"/>
          <w:szCs w:val="22"/>
        </w:rPr>
        <w:t>Unit</w:t>
      </w:r>
      <w:r w:rsidRPr="40CAFB3C">
        <w:rPr>
          <w:rStyle w:val="None"/>
          <w:rFonts w:eastAsia="Arial" w:cs="Arial"/>
          <w:spacing w:val="-14"/>
          <w:sz w:val="22"/>
          <w:szCs w:val="22"/>
        </w:rPr>
        <w:t xml:space="preserve"> </w:t>
      </w:r>
      <w:r w:rsidRPr="40CAFB3C">
        <w:rPr>
          <w:rStyle w:val="None"/>
          <w:rFonts w:eastAsia="Arial" w:cs="Arial"/>
          <w:sz w:val="22"/>
          <w:szCs w:val="22"/>
        </w:rPr>
        <w:t>Heads</w:t>
      </w:r>
      <w:r w:rsidRPr="40CAFB3C">
        <w:rPr>
          <w:rStyle w:val="None"/>
          <w:rFonts w:eastAsia="Arial" w:cs="Arial"/>
          <w:spacing w:val="-15"/>
          <w:sz w:val="22"/>
          <w:szCs w:val="22"/>
        </w:rPr>
        <w:t xml:space="preserve"> </w:t>
      </w:r>
      <w:r w:rsidRPr="40CAFB3C">
        <w:rPr>
          <w:rStyle w:val="None"/>
          <w:rFonts w:eastAsia="Arial" w:cs="Arial"/>
          <w:sz w:val="22"/>
          <w:szCs w:val="22"/>
        </w:rPr>
        <w:t>will</w:t>
      </w:r>
      <w:r w:rsidRPr="40CAFB3C">
        <w:rPr>
          <w:rStyle w:val="None"/>
          <w:rFonts w:eastAsia="Arial" w:cs="Arial"/>
          <w:spacing w:val="-13"/>
          <w:sz w:val="22"/>
          <w:szCs w:val="22"/>
        </w:rPr>
        <w:t xml:space="preserve"> </w:t>
      </w:r>
      <w:r w:rsidRPr="40CAFB3C">
        <w:rPr>
          <w:rStyle w:val="None"/>
          <w:rFonts w:eastAsia="Arial" w:cs="Arial"/>
          <w:sz w:val="22"/>
          <w:szCs w:val="22"/>
        </w:rPr>
        <w:t>receive</w:t>
      </w:r>
      <w:r w:rsidRPr="40CAFB3C">
        <w:rPr>
          <w:rStyle w:val="None"/>
          <w:rFonts w:eastAsia="Arial" w:cs="Arial"/>
          <w:spacing w:val="-9"/>
          <w:sz w:val="22"/>
          <w:szCs w:val="22"/>
        </w:rPr>
        <w:t xml:space="preserve"> </w:t>
      </w:r>
      <w:r w:rsidRPr="40CAFB3C">
        <w:rPr>
          <w:rStyle w:val="None"/>
          <w:rFonts w:eastAsia="Arial" w:cs="Arial"/>
          <w:sz w:val="22"/>
          <w:szCs w:val="22"/>
        </w:rPr>
        <w:t xml:space="preserve">copies of the College Committee report and Dean’s letter. </w:t>
      </w:r>
      <w:bookmarkStart w:id="2" w:name="_Hlk51307167"/>
      <w:r w:rsidRPr="40CAFB3C">
        <w:rPr>
          <w:rStyle w:val="None"/>
          <w:rFonts w:eastAsia="Arial" w:cs="Arial"/>
          <w:sz w:val="22"/>
          <w:szCs w:val="22"/>
        </w:rPr>
        <w:t xml:space="preserve">The Unit Head is obligated to discuss the results of these formal reviews with the faculty </w:t>
      </w:r>
      <w:r w:rsidRPr="40CAFB3C">
        <w:rPr>
          <w:rStyle w:val="None"/>
          <w:rFonts w:eastAsia="Arial" w:cs="Arial"/>
          <w:spacing w:val="-1"/>
          <w:sz w:val="22"/>
          <w:szCs w:val="22"/>
        </w:rPr>
        <w:t xml:space="preserve">member.  </w:t>
      </w:r>
      <w:r w:rsidRPr="40CAFB3C">
        <w:rPr>
          <w:rStyle w:val="None"/>
          <w:rFonts w:eastAsia="Arial" w:cs="Arial"/>
          <w:sz w:val="22"/>
          <w:szCs w:val="22"/>
        </w:rPr>
        <w:t>These</w:t>
      </w:r>
      <w:r w:rsidRPr="40CAFB3C">
        <w:rPr>
          <w:rStyle w:val="None"/>
          <w:rFonts w:eastAsia="Arial" w:cs="Arial"/>
          <w:spacing w:val="-1"/>
          <w:sz w:val="22"/>
          <w:szCs w:val="22"/>
        </w:rPr>
        <w:t xml:space="preserve"> </w:t>
      </w:r>
      <w:r w:rsidRPr="40CAFB3C">
        <w:rPr>
          <w:rStyle w:val="None"/>
          <w:rFonts w:eastAsia="Arial" w:cs="Arial"/>
          <w:sz w:val="22"/>
          <w:szCs w:val="22"/>
        </w:rPr>
        <w:t>sessions</w:t>
      </w:r>
      <w:r w:rsidRPr="40CAFB3C">
        <w:rPr>
          <w:rStyle w:val="None"/>
          <w:rFonts w:eastAsia="Arial" w:cs="Arial"/>
          <w:spacing w:val="-10"/>
          <w:sz w:val="22"/>
          <w:szCs w:val="22"/>
        </w:rPr>
        <w:t xml:space="preserve"> </w:t>
      </w:r>
      <w:r w:rsidRPr="40CAFB3C">
        <w:rPr>
          <w:rStyle w:val="None"/>
          <w:rFonts w:eastAsia="Arial" w:cs="Arial"/>
          <w:sz w:val="22"/>
          <w:szCs w:val="22"/>
        </w:rPr>
        <w:t>are</w:t>
      </w:r>
      <w:r w:rsidRPr="40CAFB3C">
        <w:rPr>
          <w:rStyle w:val="None"/>
          <w:rFonts w:eastAsia="Arial" w:cs="Arial"/>
          <w:spacing w:val="-1"/>
          <w:sz w:val="22"/>
          <w:szCs w:val="22"/>
        </w:rPr>
        <w:t xml:space="preserve"> </w:t>
      </w:r>
      <w:r w:rsidRPr="40CAFB3C">
        <w:rPr>
          <w:rStyle w:val="None"/>
          <w:rFonts w:eastAsia="Arial" w:cs="Arial"/>
          <w:sz w:val="22"/>
          <w:szCs w:val="22"/>
        </w:rPr>
        <w:t>to</w:t>
      </w:r>
      <w:r w:rsidRPr="40CAFB3C">
        <w:rPr>
          <w:rStyle w:val="None"/>
          <w:rFonts w:eastAsia="Arial" w:cs="Arial"/>
          <w:spacing w:val="-9"/>
          <w:sz w:val="22"/>
          <w:szCs w:val="22"/>
        </w:rPr>
        <w:t xml:space="preserve"> </w:t>
      </w:r>
      <w:r w:rsidRPr="40CAFB3C">
        <w:rPr>
          <w:rStyle w:val="None"/>
          <w:rFonts w:eastAsia="Arial" w:cs="Arial"/>
          <w:sz w:val="22"/>
          <w:szCs w:val="22"/>
        </w:rPr>
        <w:t>be</w:t>
      </w:r>
      <w:r w:rsidRPr="40CAFB3C">
        <w:rPr>
          <w:rStyle w:val="None"/>
          <w:rFonts w:eastAsia="Arial" w:cs="Arial"/>
          <w:spacing w:val="-3"/>
          <w:sz w:val="22"/>
          <w:szCs w:val="22"/>
        </w:rPr>
        <w:t xml:space="preserve"> </w:t>
      </w:r>
      <w:r w:rsidRPr="40CAFB3C">
        <w:rPr>
          <w:rStyle w:val="None"/>
          <w:rFonts w:eastAsia="Arial" w:cs="Arial"/>
          <w:sz w:val="22"/>
          <w:szCs w:val="22"/>
        </w:rPr>
        <w:t>held</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5"/>
          <w:sz w:val="22"/>
          <w:szCs w:val="22"/>
        </w:rPr>
        <w:t xml:space="preserve"> </w:t>
      </w:r>
      <w:r w:rsidRPr="40CAFB3C">
        <w:rPr>
          <w:rStyle w:val="None"/>
          <w:rFonts w:eastAsia="Arial" w:cs="Arial"/>
          <w:sz w:val="22"/>
          <w:szCs w:val="22"/>
        </w:rPr>
        <w:t>soon</w:t>
      </w:r>
      <w:r w:rsidRPr="40CAFB3C">
        <w:rPr>
          <w:rStyle w:val="None"/>
          <w:rFonts w:eastAsia="Arial" w:cs="Arial"/>
          <w:spacing w:val="-3"/>
          <w:sz w:val="22"/>
          <w:szCs w:val="22"/>
        </w:rPr>
        <w:t xml:space="preserve"> </w:t>
      </w:r>
      <w:r w:rsidRPr="40CAFB3C">
        <w:rPr>
          <w:rStyle w:val="None"/>
          <w:rFonts w:eastAsia="Arial" w:cs="Arial"/>
          <w:sz w:val="22"/>
          <w:szCs w:val="22"/>
        </w:rPr>
        <w:t>as</w:t>
      </w:r>
      <w:r w:rsidRPr="40CAFB3C">
        <w:rPr>
          <w:rStyle w:val="None"/>
          <w:rFonts w:eastAsia="Arial" w:cs="Arial"/>
          <w:spacing w:val="-7"/>
          <w:sz w:val="22"/>
          <w:szCs w:val="22"/>
        </w:rPr>
        <w:t xml:space="preserve"> </w:t>
      </w:r>
      <w:r w:rsidRPr="40CAFB3C">
        <w:rPr>
          <w:rStyle w:val="None"/>
          <w:rFonts w:eastAsia="Arial" w:cs="Arial"/>
          <w:sz w:val="22"/>
          <w:szCs w:val="22"/>
        </w:rPr>
        <w:t>possible</w:t>
      </w:r>
      <w:r w:rsidRPr="40CAFB3C">
        <w:rPr>
          <w:rStyle w:val="None"/>
          <w:rFonts w:eastAsia="Arial" w:cs="Arial"/>
          <w:spacing w:val="-1"/>
          <w:sz w:val="22"/>
          <w:szCs w:val="22"/>
        </w:rPr>
        <w:t xml:space="preserve"> </w:t>
      </w:r>
      <w:r w:rsidRPr="40CAFB3C">
        <w:rPr>
          <w:rStyle w:val="None"/>
          <w:rFonts w:eastAsia="Arial" w:cs="Arial"/>
          <w:sz w:val="22"/>
          <w:szCs w:val="22"/>
        </w:rPr>
        <w:t>after</w:t>
      </w:r>
      <w:r w:rsidRPr="40CAFB3C">
        <w:rPr>
          <w:rStyle w:val="None"/>
          <w:rFonts w:eastAsia="Arial" w:cs="Arial"/>
          <w:spacing w:val="-6"/>
          <w:sz w:val="22"/>
          <w:szCs w:val="22"/>
        </w:rPr>
        <w:t xml:space="preserve"> </w:t>
      </w:r>
      <w:r w:rsidRPr="40CAFB3C">
        <w:rPr>
          <w:rStyle w:val="None"/>
          <w:rFonts w:eastAsia="Arial" w:cs="Arial"/>
          <w:sz w:val="22"/>
          <w:szCs w:val="22"/>
        </w:rPr>
        <w:t>the</w:t>
      </w:r>
      <w:r w:rsidRPr="40CAFB3C">
        <w:rPr>
          <w:rStyle w:val="None"/>
          <w:rFonts w:eastAsia="Arial" w:cs="Arial"/>
          <w:spacing w:val="-5"/>
          <w:sz w:val="22"/>
          <w:szCs w:val="22"/>
        </w:rPr>
        <w:t xml:space="preserve"> </w:t>
      </w:r>
      <w:r w:rsidRPr="40CAFB3C">
        <w:rPr>
          <w:rStyle w:val="None"/>
          <w:rFonts w:eastAsia="Arial" w:cs="Arial"/>
          <w:sz w:val="22"/>
          <w:szCs w:val="22"/>
        </w:rPr>
        <w:t>review</w:t>
      </w:r>
      <w:r w:rsidRPr="40CAFB3C">
        <w:rPr>
          <w:rStyle w:val="None"/>
          <w:rFonts w:eastAsia="Arial" w:cs="Arial"/>
          <w:spacing w:val="-6"/>
          <w:sz w:val="22"/>
          <w:szCs w:val="22"/>
        </w:rPr>
        <w:t xml:space="preserve"> </w:t>
      </w:r>
      <w:r w:rsidRPr="40CAFB3C">
        <w:rPr>
          <w:rStyle w:val="None"/>
          <w:rFonts w:eastAsia="Arial" w:cs="Arial"/>
          <w:sz w:val="22"/>
          <w:szCs w:val="22"/>
        </w:rPr>
        <w:t>process Is completed and before the end of the academic year. The candidate is to be given copies of all evaluative internal reports and letters (Unit Committee, Unit Head, College Committee and Dean).</w:t>
      </w:r>
    </w:p>
    <w:bookmarkEnd w:id="2"/>
    <w:p w14:paraId="350E0BC5" w14:textId="77777777" w:rsidR="00D760E5" w:rsidRPr="006065C3" w:rsidRDefault="40CAFB3C">
      <w:pPr>
        <w:pStyle w:val="ListParagraph"/>
        <w:numPr>
          <w:ilvl w:val="0"/>
          <w:numId w:val="47"/>
        </w:numPr>
        <w:ind w:right="29"/>
        <w:rPr>
          <w:rStyle w:val="None"/>
          <w:rFonts w:eastAsia="Arial" w:cs="Arial"/>
        </w:rPr>
      </w:pPr>
      <w:r w:rsidRPr="40CAFB3C">
        <w:rPr>
          <w:rStyle w:val="None"/>
          <w:rFonts w:eastAsia="Arial" w:cs="Arial"/>
        </w:rPr>
        <w:t>Upon completion of the entire review process, the dossier, except for the documents in the external assessment section, may be reviewed and inspected by the candidate, regardless of review level, in accordance with HR-60, “Access to Personnel Files.”</w:t>
      </w:r>
    </w:p>
    <w:p w14:paraId="0D0B940D" w14:textId="77777777" w:rsidR="00D760E5" w:rsidRDefault="00D760E5" w:rsidP="40CAFB3C">
      <w:pPr>
        <w:pStyle w:val="ListParagraph"/>
        <w:tabs>
          <w:tab w:val="clear" w:pos="1636"/>
          <w:tab w:val="left" w:pos="1452"/>
        </w:tabs>
        <w:ind w:right="485"/>
        <w:rPr>
          <w:rFonts w:eastAsia="Arial" w:cs="Arial"/>
        </w:rPr>
        <w:sectPr w:rsidR="00D760E5">
          <w:headerReference w:type="default" r:id="rId15"/>
          <w:footerReference w:type="default" r:id="rId16"/>
          <w:headerReference w:type="first" r:id="rId17"/>
          <w:footerReference w:type="first" r:id="rId18"/>
          <w:pgSz w:w="12240" w:h="15840"/>
          <w:pgMar w:top="1440" w:right="1440" w:bottom="1440" w:left="1440" w:header="215" w:footer="780" w:gutter="0"/>
          <w:cols w:space="720"/>
          <w:titlePg/>
        </w:sectPr>
      </w:pPr>
    </w:p>
    <w:p w14:paraId="0E27B00A" w14:textId="77777777" w:rsidR="00D760E5" w:rsidRDefault="00D760E5">
      <w:pPr>
        <w:pStyle w:val="BodyText"/>
        <w:rPr>
          <w:rStyle w:val="None"/>
          <w:sz w:val="20"/>
          <w:szCs w:val="20"/>
        </w:rPr>
      </w:pPr>
    </w:p>
    <w:p w14:paraId="7D2EAA07" w14:textId="77777777" w:rsidR="00D760E5" w:rsidRDefault="00000000">
      <w:pPr>
        <w:pStyle w:val="BodyText"/>
        <w:jc w:val="center"/>
        <w:rPr>
          <w:rStyle w:val="None"/>
          <w:b/>
          <w:bCs/>
          <w:spacing w:val="-13"/>
          <w:sz w:val="22"/>
          <w:szCs w:val="22"/>
        </w:rPr>
      </w:pPr>
      <w:r>
        <w:rPr>
          <w:rStyle w:val="None"/>
          <w:b/>
          <w:bCs/>
          <w:sz w:val="22"/>
          <w:szCs w:val="22"/>
        </w:rPr>
        <w:t>COLLEGE OF HEALTH AND HUMAN DEVELOPMENT</w:t>
      </w:r>
      <w:r>
        <w:rPr>
          <w:rStyle w:val="None"/>
          <w:b/>
          <w:bCs/>
          <w:spacing w:val="-13"/>
          <w:sz w:val="22"/>
          <w:szCs w:val="22"/>
        </w:rPr>
        <w:t xml:space="preserve"> </w:t>
      </w:r>
    </w:p>
    <w:p w14:paraId="437B335E" w14:textId="77777777" w:rsidR="00D760E5" w:rsidRDefault="00000000">
      <w:pPr>
        <w:pStyle w:val="BodyText"/>
        <w:jc w:val="center"/>
        <w:rPr>
          <w:rStyle w:val="None"/>
          <w:b/>
          <w:bCs/>
          <w:sz w:val="22"/>
          <w:szCs w:val="22"/>
        </w:rPr>
      </w:pPr>
      <w:r>
        <w:rPr>
          <w:rStyle w:val="None"/>
          <w:b/>
          <w:bCs/>
          <w:sz w:val="22"/>
          <w:szCs w:val="22"/>
        </w:rPr>
        <w:t>TIMETABLE</w:t>
      </w:r>
      <w:r>
        <w:rPr>
          <w:rStyle w:val="None"/>
          <w:b/>
          <w:bCs/>
          <w:spacing w:val="-14"/>
          <w:sz w:val="22"/>
          <w:szCs w:val="22"/>
        </w:rPr>
        <w:t xml:space="preserve"> </w:t>
      </w:r>
      <w:r>
        <w:rPr>
          <w:rStyle w:val="None"/>
          <w:b/>
          <w:bCs/>
          <w:sz w:val="22"/>
          <w:szCs w:val="22"/>
        </w:rPr>
        <w:t>FOR TENURE AND PROMOTION REVIEWS</w:t>
      </w:r>
    </w:p>
    <w:p w14:paraId="60061E4C" w14:textId="77777777" w:rsidR="00D760E5" w:rsidRDefault="00D760E5">
      <w:pPr>
        <w:pStyle w:val="BodyText"/>
        <w:jc w:val="center"/>
        <w:rPr>
          <w:rStyle w:val="None"/>
          <w:b/>
          <w:bCs/>
          <w:sz w:val="22"/>
          <w:szCs w:val="22"/>
        </w:rPr>
      </w:pPr>
    </w:p>
    <w:p w14:paraId="44EAFD9C" w14:textId="77777777" w:rsidR="00D760E5" w:rsidRDefault="00D760E5">
      <w:pPr>
        <w:pStyle w:val="BodyText"/>
        <w:tabs>
          <w:tab w:val="left" w:pos="1170"/>
        </w:tabs>
        <w:rPr>
          <w:rStyle w:val="None"/>
          <w:b/>
          <w:bCs/>
          <w:sz w:val="22"/>
          <w:szCs w:val="22"/>
        </w:rPr>
      </w:pPr>
    </w:p>
    <w:p w14:paraId="7CD243DA" w14:textId="77777777" w:rsidR="00D760E5" w:rsidRDefault="00000000">
      <w:pPr>
        <w:pStyle w:val="BodyText"/>
        <w:spacing w:after="120"/>
        <w:rPr>
          <w:rStyle w:val="None"/>
          <w:b/>
          <w:bCs/>
          <w:spacing w:val="-1"/>
          <w:sz w:val="22"/>
          <w:szCs w:val="22"/>
          <w:u w:val="single"/>
        </w:rPr>
      </w:pPr>
      <w:r>
        <w:rPr>
          <w:rStyle w:val="None"/>
          <w:b/>
          <w:bCs/>
          <w:sz w:val="22"/>
          <w:szCs w:val="22"/>
          <w:u w:val="single"/>
        </w:rPr>
        <w:t>Academic</w:t>
      </w:r>
      <w:r>
        <w:rPr>
          <w:rStyle w:val="None"/>
          <w:b/>
          <w:bCs/>
          <w:spacing w:val="-15"/>
          <w:sz w:val="22"/>
          <w:szCs w:val="22"/>
          <w:u w:val="single"/>
        </w:rPr>
        <w:t xml:space="preserve"> </w:t>
      </w:r>
      <w:r>
        <w:rPr>
          <w:rStyle w:val="None"/>
          <w:b/>
          <w:bCs/>
          <w:sz w:val="22"/>
          <w:szCs w:val="22"/>
          <w:u w:val="single"/>
        </w:rPr>
        <w:t>Year</w:t>
      </w:r>
      <w:r>
        <w:rPr>
          <w:rStyle w:val="None"/>
          <w:b/>
          <w:bCs/>
          <w:spacing w:val="-1"/>
          <w:sz w:val="22"/>
          <w:szCs w:val="22"/>
          <w:u w:val="single"/>
        </w:rPr>
        <w:t xml:space="preserve"> </w:t>
      </w:r>
      <w:r>
        <w:rPr>
          <w:rStyle w:val="None"/>
          <w:b/>
          <w:bCs/>
          <w:sz w:val="22"/>
          <w:szCs w:val="22"/>
          <w:u w:val="single"/>
        </w:rPr>
        <w:t>Prior</w:t>
      </w:r>
      <w:r>
        <w:rPr>
          <w:rStyle w:val="None"/>
          <w:b/>
          <w:bCs/>
          <w:spacing w:val="-10"/>
          <w:sz w:val="22"/>
          <w:szCs w:val="22"/>
          <w:u w:val="single"/>
        </w:rPr>
        <w:t xml:space="preserve"> </w:t>
      </w:r>
      <w:r>
        <w:rPr>
          <w:rStyle w:val="None"/>
          <w:b/>
          <w:bCs/>
          <w:sz w:val="22"/>
          <w:szCs w:val="22"/>
          <w:u w:val="single"/>
        </w:rPr>
        <w:t>to</w:t>
      </w:r>
      <w:r>
        <w:rPr>
          <w:rStyle w:val="None"/>
          <w:b/>
          <w:bCs/>
          <w:spacing w:val="-11"/>
          <w:sz w:val="22"/>
          <w:szCs w:val="22"/>
          <w:u w:val="single"/>
        </w:rPr>
        <w:t xml:space="preserve"> </w:t>
      </w:r>
      <w:r>
        <w:rPr>
          <w:rStyle w:val="None"/>
          <w:b/>
          <w:bCs/>
          <w:sz w:val="22"/>
          <w:szCs w:val="22"/>
          <w:u w:val="single"/>
        </w:rPr>
        <w:t>Year of</w:t>
      </w:r>
      <w:r>
        <w:rPr>
          <w:rStyle w:val="None"/>
          <w:b/>
          <w:bCs/>
          <w:spacing w:val="-9"/>
          <w:sz w:val="22"/>
          <w:szCs w:val="22"/>
          <w:u w:val="single"/>
        </w:rPr>
        <w:t xml:space="preserve"> </w:t>
      </w:r>
      <w:r>
        <w:rPr>
          <w:rStyle w:val="None"/>
          <w:b/>
          <w:bCs/>
          <w:sz w:val="22"/>
          <w:szCs w:val="22"/>
          <w:u w:val="single"/>
        </w:rPr>
        <w:t>Review (All</w:t>
      </w:r>
      <w:r>
        <w:rPr>
          <w:rStyle w:val="None"/>
          <w:b/>
          <w:bCs/>
          <w:spacing w:val="-11"/>
          <w:sz w:val="22"/>
          <w:szCs w:val="22"/>
          <w:u w:val="single"/>
        </w:rPr>
        <w:t xml:space="preserve"> </w:t>
      </w:r>
      <w:r>
        <w:rPr>
          <w:rStyle w:val="None"/>
          <w:b/>
          <w:bCs/>
          <w:sz w:val="22"/>
          <w:szCs w:val="22"/>
          <w:u w:val="single"/>
        </w:rPr>
        <w:t>deadline</w:t>
      </w:r>
      <w:r>
        <w:rPr>
          <w:rStyle w:val="None"/>
          <w:b/>
          <w:bCs/>
          <w:spacing w:val="-12"/>
          <w:sz w:val="22"/>
          <w:szCs w:val="22"/>
          <w:u w:val="single"/>
        </w:rPr>
        <w:t xml:space="preserve"> </w:t>
      </w:r>
      <w:r>
        <w:rPr>
          <w:rStyle w:val="None"/>
          <w:b/>
          <w:bCs/>
          <w:sz w:val="22"/>
          <w:szCs w:val="22"/>
          <w:u w:val="single"/>
        </w:rPr>
        <w:t>dates are</w:t>
      </w:r>
      <w:r>
        <w:rPr>
          <w:rStyle w:val="None"/>
          <w:b/>
          <w:bCs/>
          <w:spacing w:val="-14"/>
          <w:sz w:val="22"/>
          <w:szCs w:val="22"/>
          <w:u w:val="single"/>
        </w:rPr>
        <w:t xml:space="preserve"> “</w:t>
      </w:r>
      <w:r>
        <w:rPr>
          <w:rStyle w:val="None"/>
          <w:b/>
          <w:bCs/>
          <w:sz w:val="22"/>
          <w:szCs w:val="22"/>
          <w:u w:val="single"/>
        </w:rPr>
        <w:t>on</w:t>
      </w:r>
      <w:r>
        <w:rPr>
          <w:rStyle w:val="None"/>
          <w:b/>
          <w:bCs/>
          <w:spacing w:val="-10"/>
          <w:sz w:val="22"/>
          <w:szCs w:val="22"/>
          <w:u w:val="single"/>
        </w:rPr>
        <w:t xml:space="preserve"> </w:t>
      </w:r>
      <w:r>
        <w:rPr>
          <w:rStyle w:val="None"/>
          <w:b/>
          <w:bCs/>
          <w:sz w:val="22"/>
          <w:szCs w:val="22"/>
          <w:u w:val="single"/>
        </w:rPr>
        <w:t>or</w:t>
      </w:r>
      <w:r>
        <w:rPr>
          <w:rStyle w:val="None"/>
          <w:b/>
          <w:bCs/>
          <w:spacing w:val="-3"/>
          <w:sz w:val="22"/>
          <w:szCs w:val="22"/>
          <w:u w:val="single"/>
        </w:rPr>
        <w:t xml:space="preserve"> </w:t>
      </w:r>
      <w:r>
        <w:rPr>
          <w:rStyle w:val="None"/>
          <w:b/>
          <w:bCs/>
          <w:spacing w:val="-1"/>
          <w:sz w:val="22"/>
          <w:szCs w:val="22"/>
          <w:u w:val="single"/>
        </w:rPr>
        <w:t>before”)</w:t>
      </w:r>
    </w:p>
    <w:p w14:paraId="6344E382" w14:textId="77777777" w:rsidR="00D760E5" w:rsidRDefault="00000000">
      <w:pPr>
        <w:pStyle w:val="BodyText"/>
        <w:tabs>
          <w:tab w:val="left" w:pos="1170"/>
        </w:tabs>
        <w:spacing w:after="120"/>
        <w:ind w:left="1170" w:right="30" w:hanging="1170"/>
        <w:jc w:val="both"/>
        <w:rPr>
          <w:rStyle w:val="None"/>
          <w:spacing w:val="-1"/>
          <w:sz w:val="22"/>
          <w:szCs w:val="22"/>
        </w:rPr>
      </w:pPr>
      <w:r>
        <w:rPr>
          <w:rStyle w:val="None"/>
          <w:sz w:val="22"/>
          <w:szCs w:val="22"/>
        </w:rPr>
        <w:t>April</w:t>
      </w:r>
      <w:r>
        <w:rPr>
          <w:rStyle w:val="None"/>
          <w:spacing w:val="-3"/>
          <w:sz w:val="22"/>
          <w:szCs w:val="22"/>
        </w:rPr>
        <w:t xml:space="preserve"> </w:t>
      </w:r>
      <w:r>
        <w:rPr>
          <w:rStyle w:val="None"/>
          <w:sz w:val="22"/>
          <w:szCs w:val="22"/>
        </w:rPr>
        <w:t xml:space="preserve">1 </w:t>
      </w:r>
      <w:r>
        <w:rPr>
          <w:rStyle w:val="None"/>
          <w:sz w:val="22"/>
          <w:szCs w:val="22"/>
        </w:rPr>
        <w:tab/>
        <w:t>List of pre-</w:t>
      </w:r>
      <w:proofErr w:type="spellStart"/>
      <w:r>
        <w:rPr>
          <w:rStyle w:val="None"/>
          <w:sz w:val="22"/>
          <w:szCs w:val="22"/>
        </w:rPr>
        <w:t>tenure</w:t>
      </w:r>
      <w:proofErr w:type="spellEnd"/>
      <w:r>
        <w:rPr>
          <w:rStyle w:val="None"/>
          <w:sz w:val="22"/>
          <w:szCs w:val="22"/>
        </w:rPr>
        <w:t xml:space="preserve"> faculty with on-sequence reviews scheduled for the upcoming academic year is forwarded to academic unit heads from the Dean’s office. On-sequence reviews include those with credit on entry, approved stays, and extensions. Notice is provided to begin forming academic unit tenure and promotion review committees and</w:t>
      </w:r>
      <w:r>
        <w:rPr>
          <w:rStyle w:val="None"/>
          <w:spacing w:val="40"/>
          <w:sz w:val="22"/>
          <w:szCs w:val="22"/>
        </w:rPr>
        <w:t xml:space="preserve"> </w:t>
      </w:r>
      <w:r>
        <w:rPr>
          <w:rStyle w:val="None"/>
          <w:sz w:val="22"/>
          <w:szCs w:val="22"/>
        </w:rPr>
        <w:t xml:space="preserve">select an academic unit representative to college tenure and promotion review </w:t>
      </w:r>
      <w:r>
        <w:rPr>
          <w:rStyle w:val="None"/>
          <w:spacing w:val="-1"/>
          <w:sz w:val="22"/>
          <w:szCs w:val="22"/>
        </w:rPr>
        <w:t>committee.</w:t>
      </w:r>
    </w:p>
    <w:p w14:paraId="590F2B94" w14:textId="77777777" w:rsidR="00D760E5" w:rsidRDefault="00000000">
      <w:pPr>
        <w:pStyle w:val="BodyText"/>
        <w:tabs>
          <w:tab w:val="left" w:pos="1170"/>
        </w:tabs>
        <w:spacing w:after="60"/>
        <w:ind w:left="1166" w:right="29" w:hanging="1166"/>
        <w:jc w:val="both"/>
        <w:rPr>
          <w:rStyle w:val="None"/>
          <w:sz w:val="22"/>
          <w:szCs w:val="22"/>
        </w:rPr>
      </w:pPr>
      <w:r>
        <w:rPr>
          <w:rStyle w:val="None"/>
          <w:sz w:val="22"/>
          <w:szCs w:val="22"/>
        </w:rPr>
        <w:t>May 1</w:t>
      </w:r>
      <w:r>
        <w:rPr>
          <w:rStyle w:val="None"/>
          <w:sz w:val="22"/>
          <w:szCs w:val="22"/>
        </w:rPr>
        <w:tab/>
        <w:t>Academic</w:t>
      </w:r>
      <w:r>
        <w:rPr>
          <w:rStyle w:val="None"/>
          <w:spacing w:val="40"/>
          <w:sz w:val="22"/>
          <w:szCs w:val="22"/>
        </w:rPr>
        <w:t xml:space="preserve"> </w:t>
      </w:r>
      <w:r>
        <w:rPr>
          <w:rStyle w:val="None"/>
          <w:sz w:val="22"/>
          <w:szCs w:val="22"/>
        </w:rPr>
        <w:t>unit</w:t>
      </w:r>
      <w:r>
        <w:rPr>
          <w:rStyle w:val="None"/>
          <w:spacing w:val="40"/>
          <w:sz w:val="22"/>
          <w:szCs w:val="22"/>
        </w:rPr>
        <w:t xml:space="preserve"> </w:t>
      </w:r>
      <w:r>
        <w:rPr>
          <w:rStyle w:val="None"/>
          <w:sz w:val="22"/>
          <w:szCs w:val="22"/>
        </w:rPr>
        <w:t>promotion</w:t>
      </w:r>
      <w:r>
        <w:rPr>
          <w:rStyle w:val="None"/>
          <w:spacing w:val="40"/>
          <w:sz w:val="22"/>
          <w:szCs w:val="22"/>
        </w:rPr>
        <w:t xml:space="preserve"> </w:t>
      </w:r>
      <w:r>
        <w:rPr>
          <w:rStyle w:val="None"/>
          <w:sz w:val="22"/>
          <w:szCs w:val="22"/>
        </w:rPr>
        <w:t>and</w:t>
      </w:r>
      <w:r>
        <w:rPr>
          <w:rStyle w:val="None"/>
          <w:spacing w:val="40"/>
          <w:sz w:val="22"/>
          <w:szCs w:val="22"/>
        </w:rPr>
        <w:t xml:space="preserve"> </w:t>
      </w:r>
      <w:r>
        <w:rPr>
          <w:rStyle w:val="None"/>
          <w:sz w:val="22"/>
          <w:szCs w:val="22"/>
        </w:rPr>
        <w:t>tenure</w:t>
      </w:r>
      <w:r>
        <w:rPr>
          <w:rStyle w:val="None"/>
          <w:spacing w:val="40"/>
          <w:sz w:val="22"/>
          <w:szCs w:val="22"/>
        </w:rPr>
        <w:t xml:space="preserve"> </w:t>
      </w:r>
      <w:r>
        <w:rPr>
          <w:rStyle w:val="None"/>
          <w:sz w:val="22"/>
          <w:szCs w:val="22"/>
        </w:rPr>
        <w:t>review</w:t>
      </w:r>
      <w:r>
        <w:rPr>
          <w:rStyle w:val="None"/>
          <w:spacing w:val="40"/>
          <w:sz w:val="22"/>
          <w:szCs w:val="22"/>
        </w:rPr>
        <w:t xml:space="preserve"> </w:t>
      </w:r>
      <w:r>
        <w:rPr>
          <w:rStyle w:val="None"/>
          <w:sz w:val="22"/>
          <w:szCs w:val="22"/>
        </w:rPr>
        <w:t>committees</w:t>
      </w:r>
      <w:r>
        <w:rPr>
          <w:rStyle w:val="None"/>
          <w:spacing w:val="40"/>
          <w:sz w:val="22"/>
          <w:szCs w:val="22"/>
        </w:rPr>
        <w:t xml:space="preserve"> </w:t>
      </w:r>
      <w:r>
        <w:rPr>
          <w:rStyle w:val="None"/>
          <w:sz w:val="22"/>
          <w:szCs w:val="22"/>
        </w:rPr>
        <w:t>formed.</w:t>
      </w:r>
      <w:r>
        <w:rPr>
          <w:rStyle w:val="None"/>
          <w:spacing w:val="40"/>
          <w:sz w:val="22"/>
          <w:szCs w:val="22"/>
        </w:rPr>
        <w:t xml:space="preserve"> </w:t>
      </w:r>
      <w:r>
        <w:rPr>
          <w:rStyle w:val="None"/>
          <w:sz w:val="22"/>
          <w:szCs w:val="22"/>
        </w:rPr>
        <w:t>Academic unit committee member list and name of representative to college promotion and tenure committee forwarded to Dean’s Office.</w:t>
      </w:r>
    </w:p>
    <w:p w14:paraId="5321675F" w14:textId="77777777" w:rsidR="00D760E5" w:rsidRDefault="00000000">
      <w:pPr>
        <w:pStyle w:val="BodyText"/>
        <w:spacing w:after="120"/>
        <w:ind w:left="1170" w:right="30"/>
        <w:jc w:val="both"/>
        <w:rPr>
          <w:rStyle w:val="None"/>
          <w:sz w:val="22"/>
          <w:szCs w:val="22"/>
        </w:rPr>
      </w:pPr>
      <w:r>
        <w:rPr>
          <w:rStyle w:val="None"/>
          <w:sz w:val="22"/>
          <w:szCs w:val="22"/>
        </w:rPr>
        <w:t>Academic</w:t>
      </w:r>
      <w:r>
        <w:rPr>
          <w:rStyle w:val="None"/>
          <w:spacing w:val="-5"/>
          <w:sz w:val="22"/>
          <w:szCs w:val="22"/>
        </w:rPr>
        <w:t xml:space="preserve"> </w:t>
      </w:r>
      <w:r>
        <w:rPr>
          <w:rStyle w:val="None"/>
          <w:sz w:val="22"/>
          <w:szCs w:val="22"/>
        </w:rPr>
        <w:t>unit</w:t>
      </w:r>
      <w:r>
        <w:rPr>
          <w:rStyle w:val="None"/>
          <w:spacing w:val="-1"/>
          <w:sz w:val="22"/>
          <w:szCs w:val="22"/>
        </w:rPr>
        <w:t xml:space="preserve"> </w:t>
      </w:r>
      <w:r>
        <w:rPr>
          <w:rStyle w:val="None"/>
          <w:sz w:val="22"/>
          <w:szCs w:val="22"/>
        </w:rPr>
        <w:t>head</w:t>
      </w:r>
      <w:r>
        <w:rPr>
          <w:rStyle w:val="None"/>
          <w:spacing w:val="-1"/>
          <w:sz w:val="22"/>
          <w:szCs w:val="22"/>
        </w:rPr>
        <w:t xml:space="preserve"> </w:t>
      </w:r>
      <w:r>
        <w:rPr>
          <w:rStyle w:val="None"/>
          <w:sz w:val="22"/>
          <w:szCs w:val="22"/>
        </w:rPr>
        <w:t>provides</w:t>
      </w:r>
      <w:r>
        <w:rPr>
          <w:rStyle w:val="None"/>
          <w:spacing w:val="-3"/>
          <w:sz w:val="22"/>
          <w:szCs w:val="22"/>
        </w:rPr>
        <w:t xml:space="preserve"> </w:t>
      </w:r>
      <w:r>
        <w:rPr>
          <w:rStyle w:val="None"/>
          <w:sz w:val="22"/>
          <w:szCs w:val="22"/>
        </w:rPr>
        <w:t>names of candidates for</w:t>
      </w:r>
      <w:r>
        <w:rPr>
          <w:rStyle w:val="None"/>
          <w:spacing w:val="-3"/>
          <w:sz w:val="22"/>
          <w:szCs w:val="22"/>
        </w:rPr>
        <w:t xml:space="preserve"> </w:t>
      </w:r>
      <w:r>
        <w:rPr>
          <w:rStyle w:val="None"/>
          <w:sz w:val="22"/>
          <w:szCs w:val="22"/>
        </w:rPr>
        <w:t>promotion-only</w:t>
      </w:r>
      <w:r>
        <w:rPr>
          <w:rStyle w:val="None"/>
          <w:spacing w:val="-1"/>
          <w:sz w:val="22"/>
          <w:szCs w:val="22"/>
        </w:rPr>
        <w:t xml:space="preserve"> </w:t>
      </w:r>
      <w:r>
        <w:rPr>
          <w:rStyle w:val="None"/>
          <w:sz w:val="22"/>
          <w:szCs w:val="22"/>
        </w:rPr>
        <w:t>and/or out-of- sequence tenure reviews to the Dean’s Office.</w:t>
      </w:r>
    </w:p>
    <w:p w14:paraId="1A3222D6" w14:textId="2EF17B04" w:rsidR="00D760E5" w:rsidRPr="006065C3" w:rsidRDefault="40CAFB3C" w:rsidP="006065C3">
      <w:pPr>
        <w:tabs>
          <w:tab w:val="left" w:pos="1170"/>
        </w:tabs>
        <w:rPr>
          <w:rStyle w:val="None"/>
          <w:rFonts w:ascii="Arial" w:hAnsi="Arial" w:cs="Arial"/>
          <w:sz w:val="22"/>
          <w:szCs w:val="22"/>
        </w:rPr>
      </w:pPr>
      <w:r w:rsidRPr="006065C3">
        <w:rPr>
          <w:rStyle w:val="None"/>
          <w:rFonts w:ascii="Arial" w:hAnsi="Arial" w:cs="Arial"/>
          <w:sz w:val="22"/>
          <w:szCs w:val="22"/>
        </w:rPr>
        <w:t>June 15</w:t>
      </w:r>
      <w:r w:rsidR="006065C3">
        <w:rPr>
          <w:rStyle w:val="None"/>
          <w:rFonts w:ascii="Arial" w:hAnsi="Arial" w:cs="Arial"/>
          <w:sz w:val="22"/>
          <w:szCs w:val="22"/>
        </w:rPr>
        <w:tab/>
      </w:r>
      <w:r w:rsidRPr="006065C3">
        <w:rPr>
          <w:rStyle w:val="None"/>
          <w:rFonts w:ascii="Arial" w:hAnsi="Arial" w:cs="Arial"/>
          <w:sz w:val="22"/>
          <w:szCs w:val="22"/>
        </w:rPr>
        <w:t>Updated academic unit tenure and promotion guidelines submitted to the Dean’s Office.</w:t>
      </w:r>
    </w:p>
    <w:p w14:paraId="2DB2B6D3" w14:textId="77777777" w:rsidR="006065C3" w:rsidRDefault="006065C3" w:rsidP="006065C3">
      <w:pPr>
        <w:rPr>
          <w:rStyle w:val="None"/>
          <w:rFonts w:ascii="Arial" w:hAnsi="Arial" w:cs="Arial"/>
          <w:sz w:val="22"/>
          <w:szCs w:val="22"/>
        </w:rPr>
      </w:pPr>
    </w:p>
    <w:p w14:paraId="1456E3B8" w14:textId="77777777" w:rsidR="006065C3" w:rsidRDefault="40CAFB3C" w:rsidP="006065C3">
      <w:pPr>
        <w:tabs>
          <w:tab w:val="left" w:pos="1170"/>
        </w:tabs>
        <w:rPr>
          <w:rStyle w:val="None"/>
          <w:rFonts w:ascii="Arial" w:hAnsi="Arial" w:cs="Arial"/>
          <w:sz w:val="22"/>
          <w:szCs w:val="22"/>
        </w:rPr>
      </w:pPr>
      <w:r w:rsidRPr="006065C3">
        <w:rPr>
          <w:rStyle w:val="None"/>
          <w:rFonts w:ascii="Arial" w:hAnsi="Arial" w:cs="Arial"/>
          <w:sz w:val="22"/>
          <w:szCs w:val="22"/>
        </w:rPr>
        <w:t>July 1</w:t>
      </w:r>
      <w:r w:rsidR="00000000" w:rsidRPr="006065C3">
        <w:rPr>
          <w:rStyle w:val="None"/>
          <w:rFonts w:ascii="Arial" w:hAnsi="Arial" w:cs="Arial"/>
          <w:sz w:val="22"/>
          <w:szCs w:val="22"/>
        </w:rPr>
        <w:tab/>
      </w:r>
      <w:r w:rsidRPr="006065C3">
        <w:rPr>
          <w:rStyle w:val="None"/>
          <w:rFonts w:ascii="Arial" w:hAnsi="Arial" w:cs="Arial"/>
          <w:sz w:val="22"/>
          <w:szCs w:val="22"/>
        </w:rPr>
        <w:t>Updated college and academic unit tenure and promotion guidelines are submitted to the</w:t>
      </w:r>
    </w:p>
    <w:p w14:paraId="2A753D64" w14:textId="646AC5A2" w:rsidR="00D760E5" w:rsidRPr="006065C3" w:rsidRDefault="006065C3" w:rsidP="006065C3">
      <w:pPr>
        <w:tabs>
          <w:tab w:val="left" w:pos="1170"/>
        </w:tabs>
        <w:rPr>
          <w:rStyle w:val="None"/>
          <w:rFonts w:ascii="Arial" w:hAnsi="Arial" w:cs="Arial"/>
          <w:sz w:val="22"/>
          <w:szCs w:val="22"/>
        </w:rPr>
      </w:pPr>
      <w:r>
        <w:rPr>
          <w:rStyle w:val="None"/>
          <w:rFonts w:ascii="Arial" w:hAnsi="Arial" w:cs="Arial"/>
          <w:sz w:val="22"/>
          <w:szCs w:val="22"/>
        </w:rPr>
        <w:tab/>
      </w:r>
      <w:r w:rsidR="40CAFB3C" w:rsidRPr="006065C3">
        <w:rPr>
          <w:rStyle w:val="None"/>
          <w:rFonts w:ascii="Arial" w:hAnsi="Arial" w:cs="Arial"/>
          <w:sz w:val="22"/>
          <w:szCs w:val="22"/>
        </w:rPr>
        <w:t>Provost’s Office.</w:t>
      </w:r>
    </w:p>
    <w:p w14:paraId="4B94D5A5" w14:textId="77777777" w:rsidR="00D760E5" w:rsidRDefault="00D760E5">
      <w:pPr>
        <w:pStyle w:val="BodyText"/>
        <w:ind w:left="1166" w:right="29"/>
        <w:jc w:val="both"/>
        <w:rPr>
          <w:rStyle w:val="None"/>
          <w:sz w:val="22"/>
          <w:szCs w:val="22"/>
        </w:rPr>
      </w:pPr>
    </w:p>
    <w:p w14:paraId="0143B311" w14:textId="77777777" w:rsidR="00D760E5" w:rsidRDefault="00000000">
      <w:pPr>
        <w:pStyle w:val="BodyText"/>
        <w:rPr>
          <w:rStyle w:val="None"/>
          <w:spacing w:val="-1"/>
          <w:sz w:val="20"/>
          <w:szCs w:val="20"/>
        </w:rPr>
      </w:pPr>
      <w:r>
        <w:rPr>
          <w:rStyle w:val="None"/>
          <w:sz w:val="20"/>
          <w:szCs w:val="20"/>
        </w:rPr>
        <w:t>Additional</w:t>
      </w:r>
      <w:r>
        <w:rPr>
          <w:rStyle w:val="None"/>
          <w:spacing w:val="-14"/>
          <w:sz w:val="20"/>
          <w:szCs w:val="20"/>
        </w:rPr>
        <w:t xml:space="preserve"> </w:t>
      </w:r>
      <w:r>
        <w:rPr>
          <w:rStyle w:val="None"/>
          <w:sz w:val="20"/>
          <w:szCs w:val="20"/>
        </w:rPr>
        <w:t>deadlines</w:t>
      </w:r>
      <w:r>
        <w:rPr>
          <w:rStyle w:val="None"/>
          <w:spacing w:val="-14"/>
          <w:sz w:val="20"/>
          <w:szCs w:val="20"/>
        </w:rPr>
        <w:t xml:space="preserve"> </w:t>
      </w:r>
      <w:r>
        <w:rPr>
          <w:rStyle w:val="None"/>
          <w:sz w:val="20"/>
          <w:szCs w:val="20"/>
        </w:rPr>
        <w:t>in</w:t>
      </w:r>
      <w:r>
        <w:rPr>
          <w:rStyle w:val="None"/>
          <w:spacing w:val="-10"/>
          <w:sz w:val="20"/>
          <w:szCs w:val="20"/>
        </w:rPr>
        <w:t xml:space="preserve"> </w:t>
      </w:r>
      <w:r>
        <w:rPr>
          <w:rStyle w:val="None"/>
          <w:sz w:val="20"/>
          <w:szCs w:val="20"/>
        </w:rPr>
        <w:t>the</w:t>
      </w:r>
      <w:r>
        <w:rPr>
          <w:rStyle w:val="None"/>
          <w:spacing w:val="-9"/>
          <w:sz w:val="20"/>
          <w:szCs w:val="20"/>
        </w:rPr>
        <w:t xml:space="preserve"> </w:t>
      </w:r>
      <w:r>
        <w:rPr>
          <w:rStyle w:val="None"/>
          <w:sz w:val="20"/>
          <w:szCs w:val="20"/>
        </w:rPr>
        <w:t>year prior</w:t>
      </w:r>
      <w:r>
        <w:rPr>
          <w:rStyle w:val="None"/>
          <w:spacing w:val="-5"/>
          <w:sz w:val="20"/>
          <w:szCs w:val="20"/>
        </w:rPr>
        <w:t xml:space="preserve"> </w:t>
      </w:r>
      <w:r>
        <w:rPr>
          <w:rStyle w:val="None"/>
          <w:sz w:val="20"/>
          <w:szCs w:val="20"/>
        </w:rPr>
        <w:t>to</w:t>
      </w:r>
      <w:r>
        <w:rPr>
          <w:rStyle w:val="None"/>
          <w:spacing w:val="-11"/>
          <w:sz w:val="20"/>
          <w:szCs w:val="20"/>
        </w:rPr>
        <w:t xml:space="preserve"> </w:t>
      </w:r>
      <w:r>
        <w:rPr>
          <w:rStyle w:val="None"/>
          <w:sz w:val="20"/>
          <w:szCs w:val="20"/>
        </w:rPr>
        <w:t>review</w:t>
      </w:r>
      <w:r>
        <w:rPr>
          <w:rStyle w:val="None"/>
          <w:spacing w:val="-3"/>
          <w:sz w:val="20"/>
          <w:szCs w:val="20"/>
        </w:rPr>
        <w:t xml:space="preserve"> </w:t>
      </w:r>
      <w:r>
        <w:rPr>
          <w:rStyle w:val="None"/>
          <w:sz w:val="20"/>
          <w:szCs w:val="20"/>
        </w:rPr>
        <w:t>specific</w:t>
      </w:r>
      <w:r>
        <w:rPr>
          <w:rStyle w:val="None"/>
          <w:spacing w:val="-5"/>
          <w:sz w:val="20"/>
          <w:szCs w:val="20"/>
        </w:rPr>
        <w:t xml:space="preserve"> </w:t>
      </w:r>
      <w:r>
        <w:rPr>
          <w:rStyle w:val="None"/>
          <w:sz w:val="20"/>
          <w:szCs w:val="20"/>
        </w:rPr>
        <w:t>to</w:t>
      </w:r>
      <w:r>
        <w:rPr>
          <w:rStyle w:val="None"/>
          <w:spacing w:val="-7"/>
          <w:sz w:val="20"/>
          <w:szCs w:val="20"/>
        </w:rPr>
        <w:t xml:space="preserve"> </w:t>
      </w:r>
      <w:r>
        <w:rPr>
          <w:rStyle w:val="None"/>
          <w:sz w:val="20"/>
          <w:szCs w:val="20"/>
        </w:rPr>
        <w:t>type</w:t>
      </w:r>
      <w:r>
        <w:rPr>
          <w:rStyle w:val="None"/>
          <w:spacing w:val="-14"/>
          <w:sz w:val="20"/>
          <w:szCs w:val="20"/>
        </w:rPr>
        <w:t xml:space="preserve"> </w:t>
      </w:r>
      <w:r>
        <w:rPr>
          <w:rStyle w:val="None"/>
          <w:sz w:val="20"/>
          <w:szCs w:val="20"/>
        </w:rPr>
        <w:t>of</w:t>
      </w:r>
      <w:r>
        <w:rPr>
          <w:rStyle w:val="None"/>
          <w:spacing w:val="-1"/>
          <w:sz w:val="20"/>
          <w:szCs w:val="20"/>
        </w:rPr>
        <w:t xml:space="preserve"> candidate</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250"/>
        <w:gridCol w:w="2610"/>
        <w:gridCol w:w="2700"/>
      </w:tblGrid>
      <w:tr w:rsidR="00D760E5" w14:paraId="2F7EB341" w14:textId="77777777" w:rsidTr="40CAFB3C">
        <w:trPr>
          <w:trHeight w:val="663"/>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vAlign w:val="center"/>
          </w:tcPr>
          <w:p w14:paraId="3DEEC669" w14:textId="77777777" w:rsidR="00D760E5" w:rsidRDefault="00D760E5"/>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00" w:type="dxa"/>
            </w:tcMar>
            <w:vAlign w:val="bottom"/>
          </w:tcPr>
          <w:p w14:paraId="76B74B0B" w14:textId="77777777" w:rsidR="00D760E5" w:rsidRDefault="00000000">
            <w:pPr>
              <w:pStyle w:val="TableParagraph"/>
              <w:ind w:left="90" w:right="120"/>
              <w:jc w:val="center"/>
            </w:pPr>
            <w:r>
              <w:rPr>
                <w:rStyle w:val="None"/>
                <w:rFonts w:ascii="Arial" w:hAnsi="Arial"/>
                <w:color w:val="FFFFFF"/>
                <w:sz w:val="20"/>
                <w:szCs w:val="20"/>
                <w:u w:color="FFFFFF"/>
              </w:rPr>
              <w:t xml:space="preserve">Tenure and/or </w:t>
            </w:r>
            <w:r>
              <w:rPr>
                <w:rStyle w:val="None"/>
                <w:rFonts w:ascii="Arial" w:hAnsi="Arial"/>
                <w:color w:val="FFFFFF"/>
                <w:spacing w:val="-5"/>
                <w:sz w:val="20"/>
                <w:szCs w:val="20"/>
                <w:u w:color="FFFFFF"/>
              </w:rPr>
              <w:t>promotion</w:t>
            </w:r>
            <w:r>
              <w:rPr>
                <w:rStyle w:val="None"/>
                <w:rFonts w:ascii="Arial" w:hAnsi="Arial"/>
                <w:color w:val="FFFFFF"/>
                <w:spacing w:val="-25"/>
                <w:sz w:val="20"/>
                <w:szCs w:val="20"/>
                <w:u w:color="FFFFFF"/>
              </w:rPr>
              <w:t xml:space="preserve"> </w:t>
            </w:r>
            <w:r>
              <w:rPr>
                <w:rStyle w:val="None"/>
                <w:rFonts w:ascii="Arial" w:hAnsi="Arial"/>
                <w:color w:val="FFFFFF"/>
                <w:spacing w:val="-5"/>
                <w:sz w:val="20"/>
                <w:szCs w:val="20"/>
                <w:u w:color="FFFFFF"/>
              </w:rPr>
              <w:t>candidates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67" w:type="dxa"/>
            </w:tcMar>
            <w:vAlign w:val="bottom"/>
          </w:tcPr>
          <w:p w14:paraId="46ED6864" w14:textId="77777777" w:rsidR="00D760E5" w:rsidRDefault="00000000">
            <w:pPr>
              <w:pStyle w:val="TableParagraph"/>
              <w:ind w:left="90" w:right="187"/>
              <w:jc w:val="center"/>
            </w:pPr>
            <w:r>
              <w:rPr>
                <w:rStyle w:val="None"/>
                <w:rFonts w:ascii="Arial" w:hAnsi="Arial"/>
                <w:color w:val="FFFFFF"/>
                <w:sz w:val="20"/>
                <w:szCs w:val="20"/>
                <w:u w:color="FFFFFF"/>
              </w:rPr>
              <w:t>Pre-tenure</w:t>
            </w:r>
            <w:r>
              <w:rPr>
                <w:rStyle w:val="None"/>
                <w:rFonts w:ascii="Arial" w:hAnsi="Arial"/>
                <w:color w:val="FFFFFF"/>
                <w:spacing w:val="-7"/>
                <w:sz w:val="20"/>
                <w:szCs w:val="20"/>
                <w:u w:color="FFFFFF"/>
              </w:rPr>
              <w:t xml:space="preserve"> </w:t>
            </w:r>
            <w:r>
              <w:rPr>
                <w:rStyle w:val="None"/>
                <w:rFonts w:ascii="Arial" w:hAnsi="Arial"/>
                <w:color w:val="FFFFFF"/>
                <w:sz w:val="20"/>
                <w:szCs w:val="20"/>
                <w:u w:color="FFFFFF"/>
              </w:rPr>
              <w:t xml:space="preserve">review </w:t>
            </w:r>
            <w:r>
              <w:rPr>
                <w:rStyle w:val="None"/>
                <w:rFonts w:ascii="Arial" w:hAnsi="Arial"/>
                <w:color w:val="FFFFFF"/>
                <w:spacing w:val="-3"/>
                <w:sz w:val="20"/>
                <w:szCs w:val="20"/>
                <w:u w:color="FFFFFF"/>
              </w:rPr>
              <w:t>candidates</w:t>
            </w:r>
            <w:r>
              <w:rPr>
                <w:rStyle w:val="None"/>
                <w:rFonts w:ascii="Arial" w:hAnsi="Arial"/>
                <w:color w:val="FFFFFF"/>
                <w:spacing w:val="-14"/>
                <w:sz w:val="20"/>
                <w:szCs w:val="20"/>
                <w:u w:color="FFFFFF"/>
              </w:rPr>
              <w:t xml:space="preserve"> </w:t>
            </w:r>
            <w:r>
              <w:rPr>
                <w:rStyle w:val="None"/>
                <w:rFonts w:ascii="Arial" w:hAnsi="Arial"/>
                <w:color w:val="FFFFFF"/>
                <w:spacing w:val="-3"/>
                <w:sz w:val="20"/>
                <w:szCs w:val="20"/>
                <w:u w:color="FFFFFF"/>
              </w:rPr>
              <w:t>other</w:t>
            </w:r>
            <w:r>
              <w:rPr>
                <w:rStyle w:val="None"/>
                <w:rFonts w:ascii="Arial" w:hAnsi="Arial"/>
                <w:color w:val="FFFFFF"/>
                <w:spacing w:val="-18"/>
                <w:sz w:val="20"/>
                <w:szCs w:val="20"/>
                <w:u w:color="FFFFFF"/>
              </w:rPr>
              <w:t xml:space="preserve"> </w:t>
            </w:r>
            <w:r>
              <w:rPr>
                <w:rStyle w:val="None"/>
                <w:rFonts w:ascii="Arial" w:hAnsi="Arial"/>
                <w:color w:val="FFFFFF"/>
                <w:spacing w:val="-3"/>
                <w:sz w:val="20"/>
                <w:szCs w:val="20"/>
                <w:u w:color="FFFFFF"/>
              </w:rPr>
              <w:t xml:space="preserve">than </w:t>
            </w:r>
            <w:r>
              <w:rPr>
                <w:rStyle w:val="None"/>
                <w:rFonts w:ascii="Arial" w:hAnsi="Arial"/>
                <w:color w:val="FFFFFF"/>
                <w:spacing w:val="-10"/>
                <w:sz w:val="20"/>
                <w:szCs w:val="20"/>
                <w:u w:color="FFFFFF"/>
              </w:rPr>
              <w:t>second-</w:t>
            </w:r>
            <w:r>
              <w:rPr>
                <w:rStyle w:val="None"/>
                <w:rFonts w:ascii="Arial" w:hAnsi="Arial"/>
                <w:color w:val="FFFFFF"/>
                <w:spacing w:val="-3"/>
                <w:sz w:val="20"/>
                <w:szCs w:val="20"/>
                <w:u w:color="FFFFFF"/>
              </w:rPr>
              <w:t>year</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170" w:type="dxa"/>
              <w:bottom w:w="80" w:type="dxa"/>
              <w:right w:w="200" w:type="dxa"/>
            </w:tcMar>
            <w:vAlign w:val="bottom"/>
          </w:tcPr>
          <w:p w14:paraId="0AC8E2A4" w14:textId="77777777" w:rsidR="00D760E5" w:rsidRDefault="00000000">
            <w:pPr>
              <w:pStyle w:val="TableParagraph"/>
              <w:ind w:left="90" w:right="120"/>
              <w:jc w:val="center"/>
              <w:rPr>
                <w:rStyle w:val="None"/>
                <w:rFonts w:ascii="Arial" w:eastAsia="Arial" w:hAnsi="Arial" w:cs="Arial"/>
                <w:color w:val="FFFFFF"/>
                <w:spacing w:val="-11"/>
                <w:sz w:val="20"/>
                <w:szCs w:val="20"/>
                <w:u w:color="FFFFFF"/>
              </w:rPr>
            </w:pPr>
            <w:r>
              <w:rPr>
                <w:rStyle w:val="None"/>
                <w:rFonts w:ascii="Arial" w:hAnsi="Arial"/>
                <w:color w:val="FFFFFF"/>
                <w:spacing w:val="-1"/>
                <w:sz w:val="20"/>
                <w:szCs w:val="20"/>
                <w:u w:color="FFFFFF"/>
              </w:rPr>
              <w:t>Second-year</w:t>
            </w:r>
            <w:r>
              <w:rPr>
                <w:rStyle w:val="None"/>
                <w:rFonts w:ascii="Arial" w:hAnsi="Arial"/>
                <w:color w:val="FFFFFF"/>
                <w:spacing w:val="-11"/>
                <w:sz w:val="20"/>
                <w:szCs w:val="20"/>
                <w:u w:color="FFFFFF"/>
              </w:rPr>
              <w:t xml:space="preserve"> </w:t>
            </w:r>
          </w:p>
          <w:p w14:paraId="59D1141A" w14:textId="77777777" w:rsidR="00D760E5" w:rsidRDefault="00000000">
            <w:pPr>
              <w:pStyle w:val="TableParagraph"/>
              <w:ind w:left="90" w:right="120"/>
              <w:jc w:val="center"/>
            </w:pPr>
            <w:r>
              <w:rPr>
                <w:rStyle w:val="None"/>
                <w:rFonts w:ascii="Arial" w:hAnsi="Arial"/>
                <w:color w:val="FFFFFF"/>
                <w:spacing w:val="-1"/>
                <w:sz w:val="20"/>
                <w:szCs w:val="20"/>
                <w:u w:color="FFFFFF"/>
              </w:rPr>
              <w:t>pre- tenure</w:t>
            </w:r>
            <w:r>
              <w:rPr>
                <w:rStyle w:val="None"/>
                <w:rFonts w:ascii="Arial" w:hAnsi="Arial"/>
                <w:color w:val="FFFFFF"/>
                <w:spacing w:val="-7"/>
                <w:sz w:val="20"/>
                <w:szCs w:val="20"/>
                <w:u w:color="FFFFFF"/>
              </w:rPr>
              <w:t xml:space="preserve"> </w:t>
            </w:r>
            <w:r>
              <w:rPr>
                <w:rStyle w:val="None"/>
                <w:rFonts w:ascii="Arial" w:hAnsi="Arial"/>
                <w:color w:val="FFFFFF"/>
                <w:spacing w:val="-5"/>
                <w:sz w:val="20"/>
                <w:szCs w:val="20"/>
                <w:u w:color="FFFFFF"/>
              </w:rPr>
              <w:t>candidates</w:t>
            </w:r>
          </w:p>
        </w:tc>
      </w:tr>
      <w:tr w:rsidR="00D760E5" w14:paraId="58268B0F" w14:textId="77777777" w:rsidTr="40CAFB3C">
        <w:trPr>
          <w:trHeight w:val="1791"/>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0" w:type="dxa"/>
              <w:bottom w:w="80" w:type="dxa"/>
              <w:right w:w="195" w:type="dxa"/>
            </w:tcMar>
          </w:tcPr>
          <w:p w14:paraId="28778C99" w14:textId="77777777" w:rsidR="00D760E5" w:rsidRDefault="40CAFB3C" w:rsidP="40CAFB3C">
            <w:pPr>
              <w:pStyle w:val="TableParagraph"/>
              <w:spacing w:before="60"/>
              <w:ind w:left="90" w:right="115"/>
              <w:rPr>
                <w:rStyle w:val="None"/>
                <w:rFonts w:ascii="Arial" w:eastAsia="Arial" w:hAnsi="Arial" w:cs="Arial"/>
                <w:color w:val="auto"/>
                <w:sz w:val="20"/>
                <w:szCs w:val="20"/>
              </w:rPr>
            </w:pPr>
            <w:r w:rsidRPr="40CAFB3C">
              <w:rPr>
                <w:rStyle w:val="None"/>
                <w:rFonts w:ascii="Arial" w:hAnsi="Arial"/>
                <w:color w:val="auto"/>
                <w:sz w:val="20"/>
                <w:szCs w:val="20"/>
              </w:rPr>
              <w:t xml:space="preserve">Names of external </w:t>
            </w:r>
            <w:r w:rsidRPr="40CAFB3C">
              <w:rPr>
                <w:rStyle w:val="None"/>
                <w:rFonts w:ascii="Arial" w:hAnsi="Arial"/>
                <w:color w:val="auto"/>
                <w:spacing w:val="-5"/>
                <w:sz w:val="20"/>
                <w:szCs w:val="20"/>
              </w:rPr>
              <w:t>reviewers</w:t>
            </w:r>
            <w:r w:rsidRPr="40CAFB3C">
              <w:rPr>
                <w:rStyle w:val="None"/>
                <w:rFonts w:ascii="Arial" w:hAnsi="Arial"/>
                <w:color w:val="auto"/>
                <w:spacing w:val="-23"/>
                <w:sz w:val="20"/>
                <w:szCs w:val="20"/>
              </w:rPr>
              <w:t xml:space="preserve"> </w:t>
            </w:r>
            <w:r w:rsidRPr="40CAFB3C">
              <w:rPr>
                <w:rStyle w:val="None"/>
                <w:rFonts w:ascii="Arial" w:hAnsi="Arial"/>
                <w:color w:val="auto"/>
                <w:spacing w:val="-5"/>
                <w:sz w:val="20"/>
                <w:szCs w:val="20"/>
              </w:rPr>
              <w:t xml:space="preserve">forwarded </w:t>
            </w:r>
            <w:r w:rsidRPr="40CAFB3C">
              <w:rPr>
                <w:rStyle w:val="None"/>
                <w:rFonts w:ascii="Arial" w:hAnsi="Arial"/>
                <w:color w:val="auto"/>
                <w:sz w:val="20"/>
                <w:szCs w:val="20"/>
              </w:rPr>
              <w:t>to Dean’s Office</w:t>
            </w:r>
          </w:p>
          <w:p w14:paraId="3656B9AB" w14:textId="77777777" w:rsidR="00D760E5" w:rsidRDefault="00D760E5" w:rsidP="40CAFB3C">
            <w:pPr>
              <w:pStyle w:val="TableParagraph"/>
              <w:ind w:left="90"/>
              <w:rPr>
                <w:rStyle w:val="None"/>
                <w:rFonts w:ascii="Arial" w:eastAsia="Arial" w:hAnsi="Arial" w:cs="Arial"/>
                <w:b/>
                <w:bCs/>
                <w:color w:val="auto"/>
                <w:sz w:val="20"/>
                <w:szCs w:val="20"/>
              </w:rPr>
            </w:pPr>
          </w:p>
          <w:p w14:paraId="422577ED" w14:textId="77777777" w:rsidR="00D760E5" w:rsidRDefault="40CAFB3C" w:rsidP="40CAFB3C">
            <w:pPr>
              <w:pStyle w:val="TableParagraph"/>
              <w:ind w:left="90" w:right="294"/>
              <w:rPr>
                <w:color w:val="auto"/>
              </w:rPr>
            </w:pPr>
            <w:r w:rsidRPr="40CAFB3C">
              <w:rPr>
                <w:rStyle w:val="None"/>
                <w:rFonts w:ascii="Arial" w:hAnsi="Arial"/>
                <w:color w:val="auto"/>
                <w:sz w:val="20"/>
                <w:szCs w:val="20"/>
              </w:rPr>
              <w:t xml:space="preserve">Materials for distribution to external reviewers </w:t>
            </w:r>
            <w:r w:rsidRPr="40CAFB3C">
              <w:rPr>
                <w:rStyle w:val="None"/>
                <w:rFonts w:ascii="Arial" w:hAnsi="Arial"/>
                <w:color w:val="auto"/>
                <w:spacing w:val="-1"/>
                <w:sz w:val="20"/>
                <w:szCs w:val="20"/>
              </w:rPr>
              <w:t>due</w:t>
            </w:r>
            <w:r w:rsidRPr="40CAFB3C">
              <w:rPr>
                <w:rStyle w:val="None"/>
                <w:rFonts w:ascii="Arial" w:hAnsi="Arial"/>
                <w:color w:val="auto"/>
                <w:spacing w:val="-18"/>
                <w:sz w:val="20"/>
                <w:szCs w:val="20"/>
              </w:rPr>
              <w:t xml:space="preserve"> </w:t>
            </w:r>
            <w:r w:rsidRPr="40CAFB3C">
              <w:rPr>
                <w:rStyle w:val="None"/>
                <w:rFonts w:ascii="Arial" w:hAnsi="Arial"/>
                <w:color w:val="auto"/>
                <w:spacing w:val="-1"/>
                <w:sz w:val="20"/>
                <w:szCs w:val="20"/>
              </w:rPr>
              <w:t>to</w:t>
            </w:r>
            <w:r w:rsidRPr="40CAFB3C">
              <w:rPr>
                <w:rStyle w:val="None"/>
                <w:rFonts w:ascii="Arial" w:hAnsi="Arial"/>
                <w:color w:val="auto"/>
                <w:spacing w:val="-21"/>
                <w:sz w:val="20"/>
                <w:szCs w:val="20"/>
              </w:rPr>
              <w:t xml:space="preserve"> </w:t>
            </w:r>
            <w:r w:rsidRPr="40CAFB3C">
              <w:rPr>
                <w:rStyle w:val="None"/>
                <w:rFonts w:ascii="Arial" w:hAnsi="Arial"/>
                <w:color w:val="auto"/>
                <w:spacing w:val="-1"/>
                <w:sz w:val="20"/>
                <w:szCs w:val="20"/>
              </w:rPr>
              <w:t>Dean’s</w:t>
            </w:r>
            <w:r w:rsidRPr="40CAFB3C">
              <w:rPr>
                <w:rStyle w:val="None"/>
                <w:rFonts w:ascii="Arial" w:hAnsi="Arial"/>
                <w:color w:val="auto"/>
                <w:spacing w:val="-17"/>
                <w:sz w:val="20"/>
                <w:szCs w:val="20"/>
              </w:rPr>
              <w:t xml:space="preserve"> </w:t>
            </w:r>
            <w:r w:rsidRPr="40CAFB3C">
              <w:rPr>
                <w:rStyle w:val="None"/>
                <w:rFonts w:ascii="Arial" w:hAnsi="Arial"/>
                <w:color w:val="auto"/>
                <w:spacing w:val="-1"/>
                <w:sz w:val="20"/>
                <w:szCs w:val="20"/>
              </w:rPr>
              <w:t>Office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5FB0818" w14:textId="77777777" w:rsidR="00D760E5" w:rsidRDefault="00D760E5" w:rsidP="40CAFB3C">
            <w:pPr>
              <w:pStyle w:val="TableParagraph"/>
              <w:jc w:val="center"/>
              <w:rPr>
                <w:rStyle w:val="None"/>
                <w:rFonts w:ascii="Arial" w:eastAsia="Arial" w:hAnsi="Arial" w:cs="Arial"/>
                <w:b/>
                <w:bCs/>
                <w:color w:val="auto"/>
                <w:sz w:val="20"/>
                <w:szCs w:val="20"/>
              </w:rPr>
            </w:pPr>
          </w:p>
          <w:p w14:paraId="049F31CB" w14:textId="77777777" w:rsidR="00D760E5" w:rsidRDefault="00D760E5" w:rsidP="40CAFB3C">
            <w:pPr>
              <w:pStyle w:val="TableParagraph"/>
              <w:jc w:val="center"/>
              <w:rPr>
                <w:rStyle w:val="None"/>
                <w:rFonts w:ascii="Arial" w:eastAsia="Arial" w:hAnsi="Arial" w:cs="Arial"/>
                <w:b/>
                <w:bCs/>
                <w:color w:val="auto"/>
                <w:sz w:val="20"/>
                <w:szCs w:val="20"/>
              </w:rPr>
            </w:pPr>
          </w:p>
          <w:p w14:paraId="53128261" w14:textId="77777777" w:rsidR="00D760E5" w:rsidRDefault="00D760E5" w:rsidP="40CAFB3C">
            <w:pPr>
              <w:pStyle w:val="TableParagraph"/>
              <w:jc w:val="center"/>
              <w:rPr>
                <w:rStyle w:val="None"/>
                <w:rFonts w:ascii="Arial" w:eastAsia="Arial" w:hAnsi="Arial" w:cs="Arial"/>
                <w:b/>
                <w:bCs/>
                <w:color w:val="auto"/>
                <w:sz w:val="20"/>
                <w:szCs w:val="20"/>
              </w:rPr>
            </w:pPr>
          </w:p>
          <w:p w14:paraId="0B8EDC8C" w14:textId="77777777" w:rsidR="00D760E5" w:rsidRDefault="40CAFB3C" w:rsidP="40CAFB3C">
            <w:pPr>
              <w:pStyle w:val="TableParagraph"/>
              <w:jc w:val="center"/>
              <w:rPr>
                <w:color w:val="auto"/>
              </w:rPr>
            </w:pPr>
            <w:r w:rsidRPr="40CAFB3C">
              <w:rPr>
                <w:rStyle w:val="None"/>
                <w:rFonts w:ascii="Arial" w:hAnsi="Arial"/>
                <w:color w:val="auto"/>
                <w:sz w:val="20"/>
                <w:szCs w:val="20"/>
              </w:rPr>
              <w:t>June</w:t>
            </w:r>
            <w:r w:rsidRPr="40CAFB3C">
              <w:rPr>
                <w:rStyle w:val="None"/>
                <w:rFonts w:ascii="Arial" w:hAnsi="Arial"/>
                <w:color w:val="auto"/>
                <w:spacing w:val="-9"/>
                <w:sz w:val="20"/>
                <w:szCs w:val="20"/>
              </w:rPr>
              <w:t xml:space="preserve"> </w:t>
            </w:r>
            <w:r w:rsidRPr="40CAFB3C">
              <w:rPr>
                <w:rStyle w:val="None"/>
                <w:rFonts w:ascii="Arial" w:hAnsi="Arial"/>
                <w:color w:val="auto"/>
                <w:spacing w:val="-5"/>
                <w:sz w:val="20"/>
                <w:szCs w:val="20"/>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2486C05" w14:textId="77777777" w:rsidR="00D760E5" w:rsidRDefault="00D760E5" w:rsidP="40CAFB3C">
            <w:pPr>
              <w:pStyle w:val="TableParagraph"/>
              <w:jc w:val="center"/>
              <w:rPr>
                <w:rStyle w:val="None"/>
                <w:rFonts w:ascii="Arial" w:eastAsia="Arial" w:hAnsi="Arial" w:cs="Arial"/>
                <w:b/>
                <w:bCs/>
                <w:color w:val="auto"/>
                <w:sz w:val="20"/>
                <w:szCs w:val="20"/>
              </w:rPr>
            </w:pPr>
          </w:p>
          <w:p w14:paraId="4101652C" w14:textId="77777777" w:rsidR="00D760E5" w:rsidRDefault="00D760E5" w:rsidP="40CAFB3C">
            <w:pPr>
              <w:pStyle w:val="TableParagraph"/>
              <w:jc w:val="center"/>
              <w:rPr>
                <w:rStyle w:val="None"/>
                <w:rFonts w:ascii="Arial" w:eastAsia="Arial" w:hAnsi="Arial" w:cs="Arial"/>
                <w:b/>
                <w:bCs/>
                <w:color w:val="auto"/>
                <w:sz w:val="20"/>
                <w:szCs w:val="20"/>
              </w:rPr>
            </w:pPr>
          </w:p>
          <w:p w14:paraId="4B99056E" w14:textId="77777777" w:rsidR="00D760E5" w:rsidRDefault="00D760E5" w:rsidP="40CAFB3C">
            <w:pPr>
              <w:pStyle w:val="TableParagraph"/>
              <w:jc w:val="center"/>
              <w:rPr>
                <w:rStyle w:val="None"/>
                <w:rFonts w:ascii="Arial" w:eastAsia="Arial" w:hAnsi="Arial" w:cs="Arial"/>
                <w:b/>
                <w:bCs/>
                <w:color w:val="auto"/>
                <w:sz w:val="20"/>
                <w:szCs w:val="20"/>
              </w:rPr>
            </w:pPr>
          </w:p>
          <w:p w14:paraId="146E8121" w14:textId="77777777" w:rsidR="00D760E5" w:rsidRDefault="40CAFB3C" w:rsidP="40CAFB3C">
            <w:pPr>
              <w:pStyle w:val="TableParagraph"/>
              <w:ind w:right="616"/>
              <w:jc w:val="center"/>
              <w:rPr>
                <w:color w:val="auto"/>
              </w:rPr>
            </w:pPr>
            <w:r w:rsidRPr="40CAFB3C">
              <w:rPr>
                <w:rStyle w:val="None"/>
                <w:rFonts w:ascii="Arial" w:hAnsi="Arial"/>
                <w:color w:val="auto"/>
                <w:spacing w:val="-5"/>
                <w:sz w:val="20"/>
                <w:szCs w:val="20"/>
              </w:rPr>
              <w:t>NA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99C43A" w14:textId="77777777" w:rsidR="00D760E5" w:rsidRDefault="00D760E5" w:rsidP="40CAFB3C">
            <w:pPr>
              <w:pStyle w:val="TableParagraph"/>
              <w:jc w:val="center"/>
              <w:rPr>
                <w:rStyle w:val="None"/>
                <w:rFonts w:ascii="Arial" w:eastAsia="Arial" w:hAnsi="Arial" w:cs="Arial"/>
                <w:b/>
                <w:bCs/>
                <w:color w:val="auto"/>
                <w:sz w:val="20"/>
                <w:szCs w:val="20"/>
              </w:rPr>
            </w:pPr>
          </w:p>
          <w:p w14:paraId="4DDBEF00" w14:textId="77777777" w:rsidR="00D760E5" w:rsidRDefault="00D760E5" w:rsidP="40CAFB3C">
            <w:pPr>
              <w:pStyle w:val="TableParagraph"/>
              <w:jc w:val="center"/>
              <w:rPr>
                <w:rStyle w:val="None"/>
                <w:rFonts w:ascii="Arial" w:eastAsia="Arial" w:hAnsi="Arial" w:cs="Arial"/>
                <w:b/>
                <w:bCs/>
                <w:color w:val="auto"/>
                <w:sz w:val="20"/>
                <w:szCs w:val="20"/>
              </w:rPr>
            </w:pPr>
          </w:p>
          <w:p w14:paraId="3461D779" w14:textId="77777777" w:rsidR="00D760E5" w:rsidRDefault="00D760E5" w:rsidP="40CAFB3C">
            <w:pPr>
              <w:pStyle w:val="TableParagraph"/>
              <w:jc w:val="center"/>
              <w:rPr>
                <w:rStyle w:val="None"/>
                <w:rFonts w:ascii="Arial" w:eastAsia="Arial" w:hAnsi="Arial" w:cs="Arial"/>
                <w:b/>
                <w:bCs/>
                <w:color w:val="auto"/>
                <w:sz w:val="20"/>
                <w:szCs w:val="20"/>
              </w:rPr>
            </w:pPr>
          </w:p>
          <w:p w14:paraId="0E95CDC1" w14:textId="77777777" w:rsidR="00D760E5" w:rsidRDefault="40CAFB3C" w:rsidP="40CAFB3C">
            <w:pPr>
              <w:pStyle w:val="TableParagraph"/>
              <w:jc w:val="center"/>
              <w:rPr>
                <w:color w:val="auto"/>
              </w:rPr>
            </w:pPr>
            <w:r w:rsidRPr="40CAFB3C">
              <w:rPr>
                <w:rStyle w:val="None"/>
                <w:rFonts w:ascii="Arial" w:hAnsi="Arial"/>
                <w:color w:val="auto"/>
                <w:spacing w:val="-5"/>
                <w:sz w:val="20"/>
                <w:szCs w:val="20"/>
              </w:rPr>
              <w:t>NA</w:t>
            </w:r>
          </w:p>
        </w:tc>
      </w:tr>
      <w:tr w:rsidR="00D760E5" w14:paraId="496223AE" w14:textId="77777777" w:rsidTr="40CAFB3C">
        <w:trPr>
          <w:trHeight w:val="57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0" w:type="dxa"/>
              <w:bottom w:w="80" w:type="dxa"/>
              <w:right w:w="200" w:type="dxa"/>
            </w:tcMar>
            <w:vAlign w:val="center"/>
          </w:tcPr>
          <w:p w14:paraId="6C30407F" w14:textId="77777777" w:rsidR="00D760E5" w:rsidRDefault="40CAFB3C" w:rsidP="40CAFB3C">
            <w:pPr>
              <w:pStyle w:val="TableParagraph"/>
              <w:ind w:left="90" w:right="120"/>
              <w:rPr>
                <w:rStyle w:val="None"/>
                <w:rFonts w:ascii="Arial" w:hAnsi="Arial"/>
                <w:color w:val="auto"/>
                <w:sz w:val="20"/>
                <w:szCs w:val="20"/>
              </w:rPr>
            </w:pPr>
            <w:r w:rsidRPr="40CAFB3C">
              <w:rPr>
                <w:rStyle w:val="None"/>
                <w:rFonts w:ascii="Arial" w:hAnsi="Arial"/>
                <w:color w:val="auto"/>
                <w:sz w:val="20"/>
                <w:szCs w:val="20"/>
              </w:rPr>
              <w:t xml:space="preserve">Packets sent to </w:t>
            </w:r>
            <w:r w:rsidRPr="40CAFB3C">
              <w:rPr>
                <w:rStyle w:val="None"/>
                <w:rFonts w:ascii="Arial" w:hAnsi="Arial"/>
                <w:color w:val="auto"/>
                <w:spacing w:val="-3"/>
                <w:sz w:val="20"/>
                <w:szCs w:val="20"/>
              </w:rPr>
              <w:t>external</w:t>
            </w:r>
            <w:r w:rsidRPr="40CAFB3C">
              <w:rPr>
                <w:rStyle w:val="None"/>
                <w:rFonts w:ascii="Arial" w:hAnsi="Arial"/>
                <w:color w:val="auto"/>
                <w:spacing w:val="-19"/>
                <w:sz w:val="20"/>
                <w:szCs w:val="20"/>
              </w:rPr>
              <w:t xml:space="preserve"> </w:t>
            </w:r>
            <w:r w:rsidRPr="40CAFB3C">
              <w:rPr>
                <w:rStyle w:val="None"/>
                <w:rFonts w:ascii="Arial" w:hAnsi="Arial"/>
                <w:color w:val="auto"/>
                <w:spacing w:val="-3"/>
                <w:sz w:val="20"/>
                <w:szCs w:val="20"/>
              </w:rPr>
              <w:t>reviewers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30060F40" w14:textId="77777777" w:rsidR="00D760E5" w:rsidRDefault="40CAFB3C" w:rsidP="40CAFB3C">
            <w:pPr>
              <w:pStyle w:val="TableParagraph"/>
              <w:jc w:val="center"/>
              <w:rPr>
                <w:rStyle w:val="None"/>
                <w:rFonts w:ascii="Arial" w:hAnsi="Arial"/>
                <w:color w:val="auto"/>
                <w:sz w:val="20"/>
                <w:szCs w:val="20"/>
              </w:rPr>
            </w:pPr>
            <w:r w:rsidRPr="40CAFB3C">
              <w:rPr>
                <w:rStyle w:val="None"/>
                <w:rFonts w:ascii="Arial" w:hAnsi="Arial"/>
                <w:color w:val="auto"/>
                <w:sz w:val="20"/>
                <w:szCs w:val="20"/>
              </w:rPr>
              <w:t>July</w:t>
            </w:r>
            <w:r w:rsidRPr="40CAFB3C">
              <w:rPr>
                <w:rStyle w:val="None"/>
                <w:rFonts w:ascii="Arial" w:hAnsi="Arial"/>
                <w:color w:val="auto"/>
                <w:spacing w:val="-9"/>
                <w:sz w:val="20"/>
                <w:szCs w:val="20"/>
              </w:rPr>
              <w:t xml:space="preserve"> </w:t>
            </w:r>
            <w:r w:rsidRPr="40CAFB3C">
              <w:rPr>
                <w:rStyle w:val="None"/>
                <w:rFonts w:ascii="Arial" w:hAnsi="Arial"/>
                <w:color w:val="auto"/>
                <w:spacing w:val="-5"/>
                <w:sz w:val="20"/>
                <w:szCs w:val="20"/>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2995319" w14:textId="77777777" w:rsidR="00D760E5" w:rsidRDefault="40CAFB3C" w:rsidP="40CAFB3C">
            <w:pPr>
              <w:pStyle w:val="TableParagraph"/>
              <w:jc w:val="center"/>
              <w:rPr>
                <w:rStyle w:val="None"/>
                <w:rFonts w:ascii="Arial" w:hAnsi="Arial"/>
                <w:color w:val="auto"/>
                <w:sz w:val="20"/>
                <w:szCs w:val="20"/>
              </w:rPr>
            </w:pPr>
            <w:r w:rsidRPr="40CAFB3C">
              <w:rPr>
                <w:rStyle w:val="None"/>
                <w:rFonts w:ascii="Arial" w:hAnsi="Arial"/>
                <w:color w:val="auto"/>
                <w:spacing w:val="-5"/>
                <w:sz w:val="20"/>
                <w:szCs w:val="20"/>
              </w:rPr>
              <w:t>NA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1" w:type="dxa"/>
            </w:tcMar>
            <w:vAlign w:val="center"/>
          </w:tcPr>
          <w:p w14:paraId="391525AD" w14:textId="77777777" w:rsidR="00D760E5" w:rsidRDefault="40CAFB3C" w:rsidP="40CAFB3C">
            <w:pPr>
              <w:pStyle w:val="TableParagraph"/>
              <w:ind w:right="1"/>
              <w:jc w:val="center"/>
              <w:rPr>
                <w:rStyle w:val="None"/>
                <w:rFonts w:ascii="Arial" w:hAnsi="Arial"/>
                <w:color w:val="auto"/>
                <w:sz w:val="20"/>
                <w:szCs w:val="20"/>
              </w:rPr>
            </w:pPr>
            <w:r w:rsidRPr="40CAFB3C">
              <w:rPr>
                <w:rStyle w:val="None"/>
                <w:rFonts w:ascii="Arial" w:hAnsi="Arial"/>
                <w:color w:val="auto"/>
                <w:spacing w:val="-5"/>
                <w:sz w:val="20"/>
                <w:szCs w:val="20"/>
              </w:rPr>
              <w:t>NA</w:t>
            </w:r>
          </w:p>
        </w:tc>
      </w:tr>
    </w:tbl>
    <w:p w14:paraId="3CF2D8B6" w14:textId="77777777" w:rsidR="00D760E5" w:rsidRDefault="00D760E5">
      <w:pPr>
        <w:pStyle w:val="BodyText"/>
        <w:rPr>
          <w:rStyle w:val="None"/>
          <w:spacing w:val="-1"/>
          <w:sz w:val="20"/>
          <w:szCs w:val="20"/>
        </w:rPr>
      </w:pPr>
    </w:p>
    <w:p w14:paraId="0FB78278" w14:textId="77777777" w:rsidR="00D760E5" w:rsidRDefault="00D760E5">
      <w:pPr>
        <w:pStyle w:val="BodyText"/>
        <w:spacing w:before="10"/>
        <w:rPr>
          <w:rStyle w:val="None"/>
          <w:b/>
          <w:bCs/>
          <w:sz w:val="22"/>
          <w:szCs w:val="22"/>
        </w:rPr>
      </w:pPr>
    </w:p>
    <w:p w14:paraId="1FC39945" w14:textId="77777777" w:rsidR="00D760E5" w:rsidRDefault="00D760E5">
      <w:pPr>
        <w:pStyle w:val="BodyText"/>
        <w:rPr>
          <w:rStyle w:val="None"/>
          <w:b/>
          <w:bCs/>
          <w:sz w:val="22"/>
          <w:szCs w:val="22"/>
        </w:rPr>
      </w:pPr>
    </w:p>
    <w:p w14:paraId="4FF18922" w14:textId="77777777" w:rsidR="00D760E5" w:rsidRDefault="00000000">
      <w:pPr>
        <w:pStyle w:val="BodyText"/>
        <w:rPr>
          <w:rStyle w:val="None"/>
          <w:b/>
          <w:bCs/>
          <w:spacing w:val="-1"/>
          <w:sz w:val="22"/>
          <w:szCs w:val="22"/>
          <w:u w:val="single"/>
        </w:rPr>
      </w:pPr>
      <w:r>
        <w:rPr>
          <w:rStyle w:val="None"/>
          <w:b/>
          <w:bCs/>
          <w:sz w:val="22"/>
          <w:szCs w:val="22"/>
          <w:u w:val="single"/>
        </w:rPr>
        <w:t>Academic</w:t>
      </w:r>
      <w:r>
        <w:rPr>
          <w:rStyle w:val="None"/>
          <w:b/>
          <w:bCs/>
          <w:spacing w:val="-13"/>
          <w:sz w:val="22"/>
          <w:szCs w:val="22"/>
          <w:u w:val="single"/>
        </w:rPr>
        <w:t xml:space="preserve"> </w:t>
      </w:r>
      <w:r>
        <w:rPr>
          <w:rStyle w:val="None"/>
          <w:b/>
          <w:bCs/>
          <w:sz w:val="22"/>
          <w:szCs w:val="22"/>
          <w:u w:val="single"/>
        </w:rPr>
        <w:t>Year</w:t>
      </w:r>
      <w:r>
        <w:rPr>
          <w:rStyle w:val="None"/>
          <w:b/>
          <w:bCs/>
          <w:spacing w:val="-3"/>
          <w:sz w:val="22"/>
          <w:szCs w:val="22"/>
          <w:u w:val="single"/>
        </w:rPr>
        <w:t xml:space="preserve"> </w:t>
      </w:r>
      <w:r>
        <w:rPr>
          <w:rStyle w:val="None"/>
          <w:b/>
          <w:bCs/>
          <w:sz w:val="22"/>
          <w:szCs w:val="22"/>
          <w:u w:val="single"/>
        </w:rPr>
        <w:t>of</w:t>
      </w:r>
      <w:r>
        <w:rPr>
          <w:rStyle w:val="None"/>
          <w:b/>
          <w:bCs/>
          <w:spacing w:val="-7"/>
          <w:sz w:val="22"/>
          <w:szCs w:val="22"/>
          <w:u w:val="single"/>
        </w:rPr>
        <w:t xml:space="preserve"> </w:t>
      </w:r>
      <w:r>
        <w:rPr>
          <w:rStyle w:val="None"/>
          <w:b/>
          <w:bCs/>
          <w:sz w:val="22"/>
          <w:szCs w:val="22"/>
          <w:u w:val="single"/>
        </w:rPr>
        <w:t>Review (All</w:t>
      </w:r>
      <w:r>
        <w:rPr>
          <w:rStyle w:val="None"/>
          <w:b/>
          <w:bCs/>
          <w:spacing w:val="-10"/>
          <w:sz w:val="22"/>
          <w:szCs w:val="22"/>
          <w:u w:val="single"/>
        </w:rPr>
        <w:t xml:space="preserve"> </w:t>
      </w:r>
      <w:r>
        <w:rPr>
          <w:rStyle w:val="None"/>
          <w:b/>
          <w:bCs/>
          <w:sz w:val="22"/>
          <w:szCs w:val="22"/>
          <w:u w:val="single"/>
        </w:rPr>
        <w:t>deadline</w:t>
      </w:r>
      <w:r>
        <w:rPr>
          <w:rStyle w:val="None"/>
          <w:b/>
          <w:bCs/>
          <w:spacing w:val="-11"/>
          <w:sz w:val="22"/>
          <w:szCs w:val="22"/>
          <w:u w:val="single"/>
        </w:rPr>
        <w:t xml:space="preserve"> </w:t>
      </w:r>
      <w:r>
        <w:rPr>
          <w:rStyle w:val="None"/>
          <w:b/>
          <w:bCs/>
          <w:sz w:val="22"/>
          <w:szCs w:val="22"/>
          <w:u w:val="single"/>
        </w:rPr>
        <w:t>dates</w:t>
      </w:r>
      <w:r>
        <w:rPr>
          <w:rStyle w:val="None"/>
          <w:b/>
          <w:bCs/>
          <w:spacing w:val="-9"/>
          <w:sz w:val="22"/>
          <w:szCs w:val="22"/>
          <w:u w:val="single"/>
        </w:rPr>
        <w:t xml:space="preserve"> </w:t>
      </w:r>
      <w:r>
        <w:rPr>
          <w:rStyle w:val="None"/>
          <w:b/>
          <w:bCs/>
          <w:sz w:val="22"/>
          <w:szCs w:val="22"/>
          <w:u w:val="single"/>
        </w:rPr>
        <w:t>are</w:t>
      </w:r>
      <w:r>
        <w:rPr>
          <w:rStyle w:val="None"/>
          <w:b/>
          <w:bCs/>
          <w:spacing w:val="-9"/>
          <w:sz w:val="22"/>
          <w:szCs w:val="22"/>
          <w:u w:val="single"/>
        </w:rPr>
        <w:t xml:space="preserve"> “</w:t>
      </w:r>
      <w:r>
        <w:rPr>
          <w:rStyle w:val="None"/>
          <w:b/>
          <w:bCs/>
          <w:sz w:val="22"/>
          <w:szCs w:val="22"/>
          <w:u w:val="single"/>
        </w:rPr>
        <w:t>on</w:t>
      </w:r>
      <w:r>
        <w:rPr>
          <w:rStyle w:val="None"/>
          <w:b/>
          <w:bCs/>
          <w:spacing w:val="-6"/>
          <w:sz w:val="22"/>
          <w:szCs w:val="22"/>
          <w:u w:val="single"/>
        </w:rPr>
        <w:t xml:space="preserve"> </w:t>
      </w:r>
      <w:r>
        <w:rPr>
          <w:rStyle w:val="None"/>
          <w:b/>
          <w:bCs/>
          <w:sz w:val="22"/>
          <w:szCs w:val="22"/>
          <w:u w:val="single"/>
        </w:rPr>
        <w:t>or</w:t>
      </w:r>
      <w:r>
        <w:rPr>
          <w:rStyle w:val="None"/>
          <w:b/>
          <w:bCs/>
          <w:spacing w:val="-3"/>
          <w:sz w:val="22"/>
          <w:szCs w:val="22"/>
          <w:u w:val="single"/>
        </w:rPr>
        <w:t xml:space="preserve"> </w:t>
      </w:r>
      <w:r>
        <w:rPr>
          <w:rStyle w:val="None"/>
          <w:b/>
          <w:bCs/>
          <w:spacing w:val="-1"/>
          <w:sz w:val="22"/>
          <w:szCs w:val="22"/>
          <w:u w:val="single"/>
        </w:rPr>
        <w:t>before”)</w:t>
      </w:r>
    </w:p>
    <w:p w14:paraId="61E24AF8" w14:textId="77777777" w:rsidR="00D760E5" w:rsidRDefault="00000000">
      <w:pPr>
        <w:pStyle w:val="BodyText"/>
        <w:tabs>
          <w:tab w:val="left" w:pos="1080"/>
          <w:tab w:val="left" w:pos="1799"/>
        </w:tabs>
        <w:spacing w:before="185"/>
        <w:ind w:left="1080" w:hanging="1080"/>
        <w:rPr>
          <w:rStyle w:val="None"/>
          <w:spacing w:val="-1"/>
          <w:sz w:val="22"/>
          <w:szCs w:val="22"/>
        </w:rPr>
      </w:pPr>
      <w:r>
        <w:rPr>
          <w:rStyle w:val="None"/>
          <w:sz w:val="22"/>
          <w:szCs w:val="22"/>
        </w:rPr>
        <w:t>Sep 1</w:t>
      </w:r>
      <w:r>
        <w:rPr>
          <w:rStyle w:val="None"/>
          <w:spacing w:val="-5"/>
          <w:sz w:val="22"/>
          <w:szCs w:val="22"/>
        </w:rPr>
        <w:tab/>
      </w:r>
      <w:r>
        <w:rPr>
          <w:rStyle w:val="None"/>
          <w:sz w:val="22"/>
          <w:szCs w:val="22"/>
        </w:rPr>
        <w:t>College</w:t>
      </w:r>
      <w:r>
        <w:rPr>
          <w:rStyle w:val="None"/>
          <w:spacing w:val="-12"/>
          <w:sz w:val="22"/>
          <w:szCs w:val="22"/>
        </w:rPr>
        <w:t xml:space="preserve"> </w:t>
      </w:r>
      <w:r>
        <w:rPr>
          <w:rStyle w:val="None"/>
          <w:sz w:val="22"/>
          <w:szCs w:val="22"/>
        </w:rPr>
        <w:t>P&amp;T</w:t>
      </w:r>
      <w:r>
        <w:rPr>
          <w:rStyle w:val="None"/>
          <w:spacing w:val="-6"/>
          <w:sz w:val="22"/>
          <w:szCs w:val="22"/>
        </w:rPr>
        <w:t xml:space="preserve"> </w:t>
      </w:r>
      <w:r>
        <w:rPr>
          <w:rStyle w:val="None"/>
          <w:sz w:val="22"/>
          <w:szCs w:val="22"/>
        </w:rPr>
        <w:t>Workshop</w:t>
      </w:r>
      <w:r>
        <w:rPr>
          <w:rStyle w:val="None"/>
          <w:spacing w:val="-10"/>
          <w:sz w:val="22"/>
          <w:szCs w:val="22"/>
        </w:rPr>
        <w:t xml:space="preserve"> </w:t>
      </w:r>
      <w:r>
        <w:rPr>
          <w:rStyle w:val="None"/>
          <w:sz w:val="22"/>
          <w:szCs w:val="22"/>
        </w:rPr>
        <w:t>for faculty and</w:t>
      </w:r>
      <w:r>
        <w:rPr>
          <w:rStyle w:val="None"/>
          <w:spacing w:val="-7"/>
          <w:sz w:val="22"/>
          <w:szCs w:val="22"/>
        </w:rPr>
        <w:t xml:space="preserve"> </w:t>
      </w:r>
      <w:r>
        <w:rPr>
          <w:rStyle w:val="None"/>
          <w:sz w:val="22"/>
          <w:szCs w:val="22"/>
        </w:rPr>
        <w:t>academic</w:t>
      </w:r>
      <w:r>
        <w:rPr>
          <w:rStyle w:val="None"/>
          <w:spacing w:val="-11"/>
          <w:sz w:val="22"/>
          <w:szCs w:val="22"/>
        </w:rPr>
        <w:t xml:space="preserve"> </w:t>
      </w:r>
      <w:r>
        <w:rPr>
          <w:rStyle w:val="None"/>
          <w:sz w:val="22"/>
          <w:szCs w:val="22"/>
        </w:rPr>
        <w:t xml:space="preserve">unit </w:t>
      </w:r>
      <w:r>
        <w:rPr>
          <w:rStyle w:val="None"/>
          <w:spacing w:val="-1"/>
          <w:sz w:val="22"/>
          <w:szCs w:val="22"/>
        </w:rPr>
        <w:t>staff</w:t>
      </w:r>
    </w:p>
    <w:p w14:paraId="03EE9AA0" w14:textId="77777777" w:rsidR="00D760E5" w:rsidRDefault="00000000">
      <w:pPr>
        <w:pStyle w:val="BodyText"/>
        <w:tabs>
          <w:tab w:val="left" w:pos="1080"/>
          <w:tab w:val="left" w:pos="1883"/>
        </w:tabs>
        <w:spacing w:before="166" w:line="254" w:lineRule="auto"/>
        <w:ind w:left="1080" w:hanging="1080"/>
        <w:rPr>
          <w:rStyle w:val="None"/>
          <w:spacing w:val="-1"/>
          <w:sz w:val="22"/>
          <w:szCs w:val="22"/>
        </w:rPr>
      </w:pPr>
      <w:r>
        <w:rPr>
          <w:rStyle w:val="None"/>
          <w:sz w:val="22"/>
          <w:szCs w:val="22"/>
        </w:rPr>
        <w:t>Oct 1</w:t>
      </w:r>
      <w:r>
        <w:rPr>
          <w:rStyle w:val="None"/>
          <w:sz w:val="22"/>
          <w:szCs w:val="22"/>
        </w:rPr>
        <w:tab/>
        <w:t>Membership</w:t>
      </w:r>
      <w:r>
        <w:rPr>
          <w:rStyle w:val="None"/>
          <w:spacing w:val="-3"/>
          <w:sz w:val="22"/>
          <w:szCs w:val="22"/>
        </w:rPr>
        <w:t xml:space="preserve"> </w:t>
      </w:r>
      <w:r>
        <w:rPr>
          <w:rStyle w:val="None"/>
          <w:sz w:val="22"/>
          <w:szCs w:val="22"/>
        </w:rPr>
        <w:t>lists</w:t>
      </w:r>
      <w:r>
        <w:rPr>
          <w:rStyle w:val="None"/>
          <w:spacing w:val="-5"/>
          <w:sz w:val="22"/>
          <w:szCs w:val="22"/>
        </w:rPr>
        <w:t xml:space="preserve"> </w:t>
      </w:r>
      <w:r>
        <w:rPr>
          <w:rStyle w:val="None"/>
          <w:sz w:val="22"/>
          <w:szCs w:val="22"/>
        </w:rPr>
        <w:t>of</w:t>
      </w:r>
      <w:r>
        <w:rPr>
          <w:rStyle w:val="None"/>
          <w:spacing w:val="-3"/>
          <w:sz w:val="22"/>
          <w:szCs w:val="22"/>
        </w:rPr>
        <w:t xml:space="preserve"> </w:t>
      </w:r>
      <w:r>
        <w:rPr>
          <w:rStyle w:val="None"/>
          <w:sz w:val="22"/>
          <w:szCs w:val="22"/>
        </w:rPr>
        <w:t>college</w:t>
      </w:r>
      <w:r>
        <w:rPr>
          <w:rStyle w:val="None"/>
          <w:spacing w:val="-1"/>
          <w:sz w:val="22"/>
          <w:szCs w:val="22"/>
        </w:rPr>
        <w:t xml:space="preserve"> and academic unit promotion and tenure review committees </w:t>
      </w:r>
      <w:r>
        <w:rPr>
          <w:rStyle w:val="None"/>
          <w:sz w:val="22"/>
          <w:szCs w:val="22"/>
        </w:rPr>
        <w:t>are submitted to</w:t>
      </w:r>
      <w:r>
        <w:rPr>
          <w:rStyle w:val="None"/>
          <w:spacing w:val="-1"/>
          <w:sz w:val="22"/>
          <w:szCs w:val="22"/>
        </w:rPr>
        <w:t xml:space="preserve"> </w:t>
      </w:r>
      <w:r>
        <w:rPr>
          <w:rStyle w:val="None"/>
          <w:sz w:val="22"/>
          <w:szCs w:val="22"/>
        </w:rPr>
        <w:t>the Provost’s</w:t>
      </w:r>
      <w:r>
        <w:rPr>
          <w:rStyle w:val="None"/>
          <w:spacing w:val="-5"/>
          <w:sz w:val="22"/>
          <w:szCs w:val="22"/>
        </w:rPr>
        <w:t xml:space="preserve"> </w:t>
      </w:r>
      <w:r>
        <w:rPr>
          <w:rStyle w:val="None"/>
          <w:sz w:val="22"/>
          <w:szCs w:val="22"/>
        </w:rPr>
        <w:t>Office</w:t>
      </w:r>
      <w:r>
        <w:rPr>
          <w:rStyle w:val="None"/>
          <w:spacing w:val="-3"/>
          <w:sz w:val="22"/>
          <w:szCs w:val="22"/>
        </w:rPr>
        <w:t>.</w:t>
      </w:r>
    </w:p>
    <w:p w14:paraId="725ABFB9" w14:textId="77777777" w:rsidR="00D760E5" w:rsidRDefault="00000000">
      <w:pPr>
        <w:pStyle w:val="BodyText"/>
        <w:tabs>
          <w:tab w:val="left" w:pos="1080"/>
        </w:tabs>
        <w:spacing w:before="165"/>
        <w:ind w:left="1080" w:hanging="1080"/>
        <w:jc w:val="both"/>
        <w:sectPr w:rsidR="00D760E5">
          <w:headerReference w:type="default" r:id="rId19"/>
          <w:pgSz w:w="12240" w:h="15840"/>
          <w:pgMar w:top="920" w:right="880" w:bottom="1170" w:left="1340" w:header="215" w:footer="780" w:gutter="0"/>
          <w:cols w:space="720"/>
        </w:sectPr>
      </w:pPr>
      <w:r>
        <w:rPr>
          <w:rStyle w:val="None"/>
          <w:sz w:val="22"/>
          <w:szCs w:val="22"/>
        </w:rPr>
        <w:t>Nov 1</w:t>
      </w:r>
      <w:r>
        <w:rPr>
          <w:rStyle w:val="None"/>
          <w:spacing w:val="40"/>
          <w:sz w:val="22"/>
          <w:szCs w:val="22"/>
        </w:rPr>
        <w:tab/>
      </w:r>
      <w:r>
        <w:rPr>
          <w:rStyle w:val="None"/>
          <w:sz w:val="22"/>
          <w:szCs w:val="22"/>
        </w:rPr>
        <w:t xml:space="preserve">All reviews for faculty at non-University Park locations who have retained their tenure status in a college at University Park completed and forwarded to college </w:t>
      </w:r>
      <w:r>
        <w:rPr>
          <w:rStyle w:val="None"/>
          <w:spacing w:val="-1"/>
          <w:sz w:val="22"/>
          <w:szCs w:val="22"/>
        </w:rPr>
        <w:t>deans.</w:t>
      </w:r>
    </w:p>
    <w:p w14:paraId="0562CB0E" w14:textId="77777777" w:rsidR="00D760E5" w:rsidRDefault="00D760E5">
      <w:pPr>
        <w:pStyle w:val="BodyText"/>
        <w:rPr>
          <w:rStyle w:val="None"/>
          <w:rFonts w:ascii="Times New Roman" w:eastAsia="Times New Roman" w:hAnsi="Times New Roman" w:cs="Times New Roman"/>
          <w:sz w:val="20"/>
          <w:szCs w:val="20"/>
        </w:rPr>
      </w:pPr>
    </w:p>
    <w:p w14:paraId="54AEE7C7" w14:textId="77777777" w:rsidR="00D760E5" w:rsidRDefault="00000000">
      <w:pPr>
        <w:pStyle w:val="BodyText"/>
        <w:ind w:left="115"/>
        <w:rPr>
          <w:rStyle w:val="None"/>
          <w:rFonts w:ascii="Calibri" w:eastAsia="Calibri" w:hAnsi="Calibri" w:cs="Calibri"/>
          <w:b/>
          <w:bCs/>
          <w:sz w:val="14"/>
          <w:szCs w:val="14"/>
        </w:rPr>
      </w:pPr>
      <w:r>
        <w:rPr>
          <w:rStyle w:val="None"/>
          <w:sz w:val="20"/>
          <w:szCs w:val="20"/>
        </w:rPr>
        <w:t>Additional</w:t>
      </w:r>
      <w:r>
        <w:rPr>
          <w:rStyle w:val="None"/>
          <w:spacing w:val="-15"/>
          <w:sz w:val="20"/>
          <w:szCs w:val="20"/>
        </w:rPr>
        <w:t xml:space="preserve"> </w:t>
      </w:r>
      <w:r>
        <w:rPr>
          <w:rStyle w:val="None"/>
          <w:sz w:val="20"/>
          <w:szCs w:val="20"/>
        </w:rPr>
        <w:t>deadlines</w:t>
      </w:r>
      <w:r>
        <w:rPr>
          <w:rStyle w:val="None"/>
          <w:spacing w:val="-14"/>
          <w:sz w:val="20"/>
          <w:szCs w:val="20"/>
        </w:rPr>
        <w:t xml:space="preserve"> </w:t>
      </w:r>
      <w:r>
        <w:rPr>
          <w:rStyle w:val="None"/>
          <w:sz w:val="20"/>
          <w:szCs w:val="20"/>
        </w:rPr>
        <w:t>in</w:t>
      </w:r>
      <w:r>
        <w:rPr>
          <w:rStyle w:val="None"/>
          <w:spacing w:val="-11"/>
          <w:sz w:val="20"/>
          <w:szCs w:val="20"/>
        </w:rPr>
        <w:t xml:space="preserve"> </w:t>
      </w:r>
      <w:r>
        <w:rPr>
          <w:rStyle w:val="None"/>
          <w:sz w:val="20"/>
          <w:szCs w:val="20"/>
        </w:rPr>
        <w:t>the</w:t>
      </w:r>
      <w:r>
        <w:rPr>
          <w:rStyle w:val="None"/>
          <w:spacing w:val="-7"/>
          <w:sz w:val="20"/>
          <w:szCs w:val="20"/>
        </w:rPr>
        <w:t xml:space="preserve"> </w:t>
      </w:r>
      <w:r>
        <w:rPr>
          <w:rStyle w:val="None"/>
          <w:sz w:val="20"/>
          <w:szCs w:val="20"/>
        </w:rPr>
        <w:t>year of</w:t>
      </w:r>
      <w:r>
        <w:rPr>
          <w:rStyle w:val="None"/>
          <w:spacing w:val="-10"/>
          <w:sz w:val="20"/>
          <w:szCs w:val="20"/>
        </w:rPr>
        <w:t xml:space="preserve"> </w:t>
      </w:r>
      <w:r>
        <w:rPr>
          <w:rStyle w:val="None"/>
          <w:sz w:val="20"/>
          <w:szCs w:val="20"/>
        </w:rPr>
        <w:t>review</w:t>
      </w:r>
      <w:r>
        <w:rPr>
          <w:rStyle w:val="None"/>
          <w:spacing w:val="-5"/>
          <w:sz w:val="20"/>
          <w:szCs w:val="20"/>
        </w:rPr>
        <w:t xml:space="preserve"> </w:t>
      </w:r>
      <w:r>
        <w:rPr>
          <w:rStyle w:val="None"/>
          <w:sz w:val="20"/>
          <w:szCs w:val="20"/>
        </w:rPr>
        <w:t>specific</w:t>
      </w:r>
      <w:r>
        <w:rPr>
          <w:rStyle w:val="None"/>
          <w:spacing w:val="-3"/>
          <w:sz w:val="20"/>
          <w:szCs w:val="20"/>
        </w:rPr>
        <w:t xml:space="preserve"> </w:t>
      </w:r>
      <w:r>
        <w:rPr>
          <w:rStyle w:val="None"/>
          <w:sz w:val="20"/>
          <w:szCs w:val="20"/>
        </w:rPr>
        <w:t>to</w:t>
      </w:r>
      <w:r>
        <w:rPr>
          <w:rStyle w:val="None"/>
          <w:spacing w:val="-10"/>
          <w:sz w:val="20"/>
          <w:szCs w:val="20"/>
        </w:rPr>
        <w:t xml:space="preserve"> </w:t>
      </w:r>
      <w:r>
        <w:rPr>
          <w:rStyle w:val="None"/>
          <w:sz w:val="20"/>
          <w:szCs w:val="20"/>
        </w:rPr>
        <w:t>type</w:t>
      </w:r>
      <w:r>
        <w:rPr>
          <w:rStyle w:val="None"/>
          <w:spacing w:val="-11"/>
          <w:sz w:val="20"/>
          <w:szCs w:val="20"/>
        </w:rPr>
        <w:t xml:space="preserve"> </w:t>
      </w:r>
      <w:r>
        <w:rPr>
          <w:rStyle w:val="None"/>
          <w:sz w:val="20"/>
          <w:szCs w:val="20"/>
        </w:rPr>
        <w:t>of</w:t>
      </w:r>
      <w:r>
        <w:rPr>
          <w:rStyle w:val="None"/>
          <w:spacing w:val="-1"/>
          <w:sz w:val="20"/>
          <w:szCs w:val="20"/>
        </w:rPr>
        <w:t xml:space="preserve"> candidate</w:t>
      </w:r>
    </w:p>
    <w:tbl>
      <w:tblPr>
        <w:tblW w:w="9844" w:type="dxa"/>
        <w:tblInd w:w="2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19"/>
        <w:gridCol w:w="2429"/>
        <w:gridCol w:w="2251"/>
        <w:gridCol w:w="2445"/>
      </w:tblGrid>
      <w:tr w:rsidR="00D760E5" w14:paraId="3527122F" w14:textId="77777777" w:rsidTr="40CAFB3C">
        <w:trPr>
          <w:trHeight w:val="649"/>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vAlign w:val="bottom"/>
          </w:tcPr>
          <w:p w14:paraId="34CE0A41" w14:textId="77777777" w:rsidR="00D760E5" w:rsidRDefault="00D760E5"/>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296" w:type="dxa"/>
              <w:bottom w:w="80" w:type="dxa"/>
              <w:right w:w="80" w:type="dxa"/>
            </w:tcMar>
            <w:vAlign w:val="bottom"/>
          </w:tcPr>
          <w:p w14:paraId="7F45D63E" w14:textId="77777777" w:rsidR="00D760E5" w:rsidRDefault="00000000">
            <w:pPr>
              <w:pStyle w:val="TableParagraph"/>
              <w:ind w:left="216" w:firstLine="343"/>
            </w:pPr>
            <w:r>
              <w:rPr>
                <w:rStyle w:val="None"/>
                <w:rFonts w:ascii="Arial" w:hAnsi="Arial"/>
                <w:b/>
                <w:bCs/>
                <w:color w:val="FFFFFF"/>
                <w:sz w:val="20"/>
                <w:szCs w:val="20"/>
                <w:u w:color="FFFFFF"/>
              </w:rPr>
              <w:t xml:space="preserve">Tenure and/or </w:t>
            </w:r>
            <w:r>
              <w:rPr>
                <w:rStyle w:val="None"/>
                <w:rFonts w:ascii="Arial" w:hAnsi="Arial"/>
                <w:b/>
                <w:bCs/>
                <w:color w:val="FFFFFF"/>
                <w:spacing w:val="-5"/>
                <w:sz w:val="20"/>
                <w:szCs w:val="20"/>
                <w:u w:color="FFFFFF"/>
              </w:rPr>
              <w:t>promotion</w:t>
            </w:r>
            <w:r>
              <w:rPr>
                <w:rStyle w:val="None"/>
                <w:rFonts w:ascii="Arial" w:hAnsi="Arial"/>
                <w:b/>
                <w:bCs/>
                <w:color w:val="FFFFFF"/>
                <w:spacing w:val="-25"/>
                <w:sz w:val="20"/>
                <w:szCs w:val="20"/>
                <w:u w:color="FFFFFF"/>
              </w:rPr>
              <w:t xml:space="preserve"> </w:t>
            </w:r>
            <w:r>
              <w:rPr>
                <w:rStyle w:val="None"/>
                <w:rFonts w:ascii="Arial" w:hAnsi="Arial"/>
                <w:b/>
                <w:bCs/>
                <w:color w:val="FFFFFF"/>
                <w:spacing w:val="-5"/>
                <w:sz w:val="20"/>
                <w:szCs w:val="20"/>
                <w:u w:color="FFFFFF"/>
              </w:rPr>
              <w:t>candidates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266" w:type="dxa"/>
              <w:bottom w:w="80" w:type="dxa"/>
              <w:right w:w="215" w:type="dxa"/>
            </w:tcMar>
            <w:vAlign w:val="bottom"/>
          </w:tcPr>
          <w:p w14:paraId="7874B8B4" w14:textId="77777777" w:rsidR="00D760E5" w:rsidRDefault="00000000">
            <w:pPr>
              <w:pStyle w:val="TableParagraph"/>
              <w:spacing w:line="232" w:lineRule="auto"/>
              <w:ind w:left="186" w:right="135" w:hanging="29"/>
              <w:jc w:val="center"/>
            </w:pPr>
            <w:r>
              <w:rPr>
                <w:rStyle w:val="None"/>
                <w:rFonts w:ascii="Arial" w:hAnsi="Arial"/>
                <w:b/>
                <w:bCs/>
                <w:color w:val="FFFFFF"/>
                <w:sz w:val="20"/>
                <w:szCs w:val="20"/>
                <w:u w:color="FFFFFF"/>
              </w:rPr>
              <w:t>Pre-tenure</w:t>
            </w:r>
            <w:r>
              <w:rPr>
                <w:rStyle w:val="None"/>
                <w:rFonts w:ascii="Arial" w:hAnsi="Arial"/>
                <w:b/>
                <w:bCs/>
                <w:color w:val="FFFFFF"/>
                <w:spacing w:val="-7"/>
                <w:sz w:val="20"/>
                <w:szCs w:val="20"/>
                <w:u w:color="FFFFFF"/>
              </w:rPr>
              <w:t xml:space="preserve"> </w:t>
            </w:r>
            <w:r>
              <w:rPr>
                <w:rStyle w:val="None"/>
                <w:rFonts w:ascii="Arial" w:hAnsi="Arial"/>
                <w:b/>
                <w:bCs/>
                <w:color w:val="FFFFFF"/>
                <w:sz w:val="20"/>
                <w:szCs w:val="20"/>
                <w:u w:color="FFFFFF"/>
              </w:rPr>
              <w:t xml:space="preserve">review </w:t>
            </w:r>
            <w:r>
              <w:rPr>
                <w:rStyle w:val="None"/>
                <w:rFonts w:ascii="Arial" w:hAnsi="Arial"/>
                <w:b/>
                <w:bCs/>
                <w:color w:val="FFFFFF"/>
                <w:spacing w:val="-3"/>
                <w:sz w:val="20"/>
                <w:szCs w:val="20"/>
                <w:u w:color="FFFFFF"/>
              </w:rPr>
              <w:t>candidates</w:t>
            </w:r>
            <w:r>
              <w:rPr>
                <w:rStyle w:val="None"/>
                <w:rFonts w:ascii="Arial" w:hAnsi="Arial"/>
                <w:b/>
                <w:bCs/>
                <w:color w:val="FFFFFF"/>
                <w:spacing w:val="-14"/>
                <w:sz w:val="20"/>
                <w:szCs w:val="20"/>
                <w:u w:color="FFFFFF"/>
              </w:rPr>
              <w:t xml:space="preserve"> </w:t>
            </w:r>
            <w:r>
              <w:rPr>
                <w:rStyle w:val="None"/>
                <w:rFonts w:ascii="Arial" w:hAnsi="Arial"/>
                <w:b/>
                <w:bCs/>
                <w:color w:val="FFFFFF"/>
                <w:spacing w:val="-3"/>
                <w:sz w:val="20"/>
                <w:szCs w:val="20"/>
                <w:u w:color="FFFFFF"/>
              </w:rPr>
              <w:t>other</w:t>
            </w:r>
            <w:r>
              <w:rPr>
                <w:rStyle w:val="None"/>
                <w:rFonts w:ascii="Arial" w:hAnsi="Arial"/>
                <w:b/>
                <w:bCs/>
                <w:color w:val="FFFFFF"/>
                <w:spacing w:val="-18"/>
                <w:sz w:val="20"/>
                <w:szCs w:val="20"/>
                <w:u w:color="FFFFFF"/>
              </w:rPr>
              <w:t xml:space="preserve"> </w:t>
            </w:r>
            <w:r>
              <w:rPr>
                <w:rStyle w:val="None"/>
                <w:rFonts w:ascii="Arial" w:hAnsi="Arial"/>
                <w:b/>
                <w:bCs/>
                <w:color w:val="FFFFFF"/>
                <w:spacing w:val="-3"/>
                <w:sz w:val="20"/>
                <w:szCs w:val="20"/>
                <w:u w:color="FFFFFF"/>
              </w:rPr>
              <w:t xml:space="preserve">than </w:t>
            </w:r>
            <w:r>
              <w:rPr>
                <w:rStyle w:val="None"/>
                <w:rFonts w:ascii="Arial" w:hAnsi="Arial"/>
                <w:b/>
                <w:bCs/>
                <w:color w:val="FFFFFF"/>
                <w:spacing w:val="-5"/>
                <w:sz w:val="20"/>
                <w:szCs w:val="20"/>
                <w:u w:color="FFFFFF"/>
              </w:rPr>
              <w:t>second-</w:t>
            </w:r>
            <w:r>
              <w:rPr>
                <w:rStyle w:val="None"/>
                <w:rFonts w:ascii="Arial" w:hAnsi="Arial"/>
                <w:b/>
                <w:bCs/>
                <w:color w:val="FFFFFF"/>
                <w:spacing w:val="-3"/>
                <w:sz w:val="20"/>
                <w:szCs w:val="20"/>
                <w:u w:color="FFFFFF"/>
              </w:rPr>
              <w:t>year</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389" w:type="dxa"/>
              <w:bottom w:w="80" w:type="dxa"/>
              <w:right w:w="80" w:type="dxa"/>
            </w:tcMar>
            <w:vAlign w:val="bottom"/>
          </w:tcPr>
          <w:p w14:paraId="65505C7D" w14:textId="77777777" w:rsidR="00D760E5" w:rsidRDefault="00000000">
            <w:pPr>
              <w:pStyle w:val="TableParagraph"/>
              <w:ind w:left="309" w:firstLine="48"/>
            </w:pPr>
            <w:r>
              <w:rPr>
                <w:rStyle w:val="None"/>
                <w:rFonts w:ascii="Arial" w:hAnsi="Arial"/>
                <w:b/>
                <w:bCs/>
                <w:color w:val="FFFFFF"/>
                <w:sz w:val="20"/>
                <w:szCs w:val="20"/>
                <w:u w:color="FFFFFF"/>
              </w:rPr>
              <w:t>Second-year</w:t>
            </w:r>
            <w:r>
              <w:rPr>
                <w:rStyle w:val="None"/>
                <w:rFonts w:ascii="Arial" w:hAnsi="Arial"/>
                <w:b/>
                <w:bCs/>
                <w:color w:val="FFFFFF"/>
                <w:spacing w:val="-13"/>
                <w:sz w:val="20"/>
                <w:szCs w:val="20"/>
                <w:u w:color="FFFFFF"/>
              </w:rPr>
              <w:t xml:space="preserve"> </w:t>
            </w:r>
            <w:r>
              <w:rPr>
                <w:rStyle w:val="None"/>
                <w:rFonts w:ascii="Arial" w:hAnsi="Arial"/>
                <w:b/>
                <w:bCs/>
                <w:color w:val="FFFFFF"/>
                <w:sz w:val="20"/>
                <w:szCs w:val="20"/>
                <w:u w:color="FFFFFF"/>
              </w:rPr>
              <w:t xml:space="preserve">pre- </w:t>
            </w:r>
            <w:r>
              <w:rPr>
                <w:rStyle w:val="None"/>
                <w:rFonts w:ascii="Arial" w:hAnsi="Arial"/>
                <w:b/>
                <w:bCs/>
                <w:color w:val="FFFFFF"/>
                <w:spacing w:val="-5"/>
                <w:sz w:val="20"/>
                <w:szCs w:val="20"/>
                <w:u w:color="FFFFFF"/>
              </w:rPr>
              <w:t>tenure</w:t>
            </w:r>
            <w:r>
              <w:rPr>
                <w:rStyle w:val="None"/>
                <w:rFonts w:ascii="Arial" w:hAnsi="Arial"/>
                <w:b/>
                <w:bCs/>
                <w:color w:val="FFFFFF"/>
                <w:sz w:val="20"/>
                <w:szCs w:val="20"/>
                <w:u w:color="FFFFFF"/>
              </w:rPr>
              <w:t xml:space="preserve"> </w:t>
            </w:r>
            <w:r>
              <w:rPr>
                <w:rStyle w:val="None"/>
                <w:rFonts w:ascii="Arial" w:hAnsi="Arial"/>
                <w:b/>
                <w:bCs/>
                <w:color w:val="FFFFFF"/>
                <w:spacing w:val="-3"/>
                <w:sz w:val="20"/>
                <w:szCs w:val="20"/>
                <w:u w:color="FFFFFF"/>
              </w:rPr>
              <w:t>candidates</w:t>
            </w:r>
          </w:p>
        </w:tc>
      </w:tr>
      <w:tr w:rsidR="00D760E5" w14:paraId="0E6F66EF" w14:textId="77777777" w:rsidTr="40CAFB3C">
        <w:trPr>
          <w:trHeight w:val="166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496" w:type="dxa"/>
            </w:tcMar>
            <w:vAlign w:val="center"/>
          </w:tcPr>
          <w:p w14:paraId="27BA8133" w14:textId="77777777" w:rsidR="00D760E5" w:rsidRDefault="00000000">
            <w:pPr>
              <w:pStyle w:val="TableParagraph"/>
              <w:ind w:left="122" w:right="416"/>
              <w:rPr>
                <w:rStyle w:val="None"/>
                <w:rFonts w:ascii="Arial" w:eastAsia="Arial" w:hAnsi="Arial" w:cs="Arial"/>
                <w:sz w:val="20"/>
                <w:szCs w:val="20"/>
              </w:rPr>
            </w:pPr>
            <w:r>
              <w:rPr>
                <w:rStyle w:val="None"/>
                <w:rFonts w:ascii="Arial" w:hAnsi="Arial"/>
                <w:sz w:val="20"/>
                <w:szCs w:val="20"/>
              </w:rPr>
              <w:t xml:space="preserve">Academic unit review </w:t>
            </w:r>
            <w:r>
              <w:rPr>
                <w:rStyle w:val="None"/>
                <w:rFonts w:ascii="Arial" w:hAnsi="Arial"/>
                <w:spacing w:val="-3"/>
                <w:sz w:val="20"/>
                <w:szCs w:val="20"/>
              </w:rPr>
              <w:t>committee</w:t>
            </w:r>
            <w:r>
              <w:rPr>
                <w:rStyle w:val="None"/>
                <w:rFonts w:ascii="Arial" w:hAnsi="Arial"/>
                <w:spacing w:val="-15"/>
                <w:sz w:val="20"/>
                <w:szCs w:val="20"/>
              </w:rPr>
              <w:t xml:space="preserve"> </w:t>
            </w:r>
            <w:r>
              <w:rPr>
                <w:rStyle w:val="None"/>
                <w:rFonts w:ascii="Arial" w:hAnsi="Arial"/>
                <w:spacing w:val="-3"/>
                <w:sz w:val="20"/>
                <w:szCs w:val="20"/>
              </w:rPr>
              <w:t>and</w:t>
            </w:r>
            <w:r>
              <w:rPr>
                <w:rStyle w:val="None"/>
                <w:rFonts w:ascii="Arial" w:hAnsi="Arial"/>
                <w:spacing w:val="-15"/>
                <w:sz w:val="20"/>
                <w:szCs w:val="20"/>
              </w:rPr>
              <w:t xml:space="preserve"> </w:t>
            </w:r>
            <w:r>
              <w:rPr>
                <w:rStyle w:val="None"/>
                <w:rFonts w:ascii="Arial" w:hAnsi="Arial"/>
                <w:spacing w:val="-3"/>
                <w:sz w:val="20"/>
                <w:szCs w:val="20"/>
              </w:rPr>
              <w:t xml:space="preserve">academic </w:t>
            </w:r>
            <w:r>
              <w:rPr>
                <w:rStyle w:val="None"/>
                <w:rFonts w:ascii="Arial" w:hAnsi="Arial"/>
                <w:sz w:val="20"/>
                <w:szCs w:val="20"/>
              </w:rPr>
              <w:t>unit head review</w:t>
            </w:r>
          </w:p>
          <w:p w14:paraId="4E5A8560" w14:textId="77777777" w:rsidR="00D760E5" w:rsidRDefault="00000000">
            <w:pPr>
              <w:pStyle w:val="TableParagraph"/>
              <w:spacing w:line="262" w:lineRule="exact"/>
              <w:ind w:left="122" w:right="416"/>
            </w:pPr>
            <w:r>
              <w:rPr>
                <w:rStyle w:val="None"/>
                <w:rFonts w:ascii="Arial" w:hAnsi="Arial"/>
                <w:sz w:val="20"/>
                <w:szCs w:val="20"/>
              </w:rPr>
              <w:t xml:space="preserve">completed and dossier </w:t>
            </w:r>
            <w:r>
              <w:rPr>
                <w:rStyle w:val="None"/>
                <w:rFonts w:ascii="Arial" w:hAnsi="Arial"/>
                <w:spacing w:val="-1"/>
                <w:sz w:val="20"/>
                <w:szCs w:val="20"/>
              </w:rPr>
              <w:t>forward</w:t>
            </w:r>
            <w:r>
              <w:rPr>
                <w:rStyle w:val="None"/>
                <w:rFonts w:ascii="Arial" w:hAnsi="Arial"/>
                <w:spacing w:val="-15"/>
                <w:sz w:val="20"/>
                <w:szCs w:val="20"/>
              </w:rPr>
              <w:t xml:space="preserve"> </w:t>
            </w:r>
            <w:r>
              <w:rPr>
                <w:rStyle w:val="None"/>
                <w:rFonts w:ascii="Arial" w:hAnsi="Arial"/>
                <w:spacing w:val="-1"/>
                <w:sz w:val="20"/>
                <w:szCs w:val="20"/>
              </w:rPr>
              <w:t>to</w:t>
            </w:r>
            <w:r>
              <w:rPr>
                <w:rStyle w:val="None"/>
                <w:rFonts w:ascii="Arial" w:hAnsi="Arial"/>
                <w:spacing w:val="-7"/>
                <w:sz w:val="20"/>
                <w:szCs w:val="20"/>
              </w:rPr>
              <w:t xml:space="preserve"> </w:t>
            </w:r>
            <w:r>
              <w:rPr>
                <w:rStyle w:val="None"/>
                <w:rFonts w:ascii="Arial" w:hAnsi="Arial"/>
                <w:spacing w:val="-1"/>
                <w:sz w:val="20"/>
                <w:szCs w:val="20"/>
              </w:rPr>
              <w:t>dean’s</w:t>
            </w:r>
            <w:r>
              <w:rPr>
                <w:rStyle w:val="None"/>
                <w:rFonts w:ascii="Arial" w:hAnsi="Arial"/>
                <w:spacing w:val="-17"/>
                <w:sz w:val="20"/>
                <w:szCs w:val="20"/>
              </w:rPr>
              <w:t xml:space="preserve"> </w:t>
            </w:r>
            <w:r>
              <w:rPr>
                <w:rStyle w:val="None"/>
                <w:rFonts w:ascii="Arial" w:hAnsi="Arial"/>
                <w:spacing w:val="-1"/>
                <w:sz w:val="20"/>
                <w:szCs w:val="20"/>
              </w:rPr>
              <w:t>office</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68" w:type="dxa"/>
              <w:bottom w:w="80" w:type="dxa"/>
              <w:right w:w="80" w:type="dxa"/>
            </w:tcMar>
            <w:vAlign w:val="center"/>
          </w:tcPr>
          <w:p w14:paraId="7946FC73" w14:textId="77777777" w:rsidR="00D760E5" w:rsidRDefault="40CAFB3C" w:rsidP="40CAFB3C">
            <w:pPr>
              <w:pStyle w:val="TableParagraph"/>
            </w:pPr>
            <w:r>
              <w:rPr>
                <w:rStyle w:val="None"/>
                <w:rFonts w:ascii="Arial" w:hAnsi="Arial"/>
                <w:spacing w:val="-3"/>
                <w:sz w:val="20"/>
                <w:szCs w:val="20"/>
              </w:rPr>
              <w:t>December</w:t>
            </w:r>
            <w:r>
              <w:rPr>
                <w:rStyle w:val="None"/>
                <w:rFonts w:ascii="Arial" w:hAnsi="Arial"/>
                <w:spacing w:val="5"/>
                <w:sz w:val="20"/>
                <w:szCs w:val="20"/>
              </w:rPr>
              <w:t xml:space="preserve"> </w:t>
            </w:r>
            <w:r>
              <w:rPr>
                <w:rStyle w:val="None"/>
                <w:rFonts w:ascii="Arial" w:hAnsi="Arial"/>
                <w:spacing w:val="-10"/>
                <w:sz w:val="20"/>
                <w:szCs w:val="20"/>
              </w:rP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56" w:type="dxa"/>
              <w:bottom w:w="80" w:type="dxa"/>
              <w:right w:w="80" w:type="dxa"/>
            </w:tcMar>
            <w:vAlign w:val="center"/>
          </w:tcPr>
          <w:p w14:paraId="491D4EE3" w14:textId="77777777" w:rsidR="00D760E5" w:rsidRDefault="40CAFB3C" w:rsidP="40CAFB3C">
            <w:pPr>
              <w:pStyle w:val="TableParagraph"/>
            </w:pPr>
            <w:r>
              <w:rPr>
                <w:rStyle w:val="None"/>
                <w:rFonts w:ascii="Arial" w:hAnsi="Arial"/>
                <w:spacing w:val="-1"/>
                <w:sz w:val="20"/>
                <w:szCs w:val="20"/>
              </w:rPr>
              <w:t>January</w:t>
            </w:r>
            <w:r>
              <w:rPr>
                <w:rStyle w:val="None"/>
                <w:rFonts w:ascii="Arial" w:hAnsi="Arial"/>
                <w:spacing w:val="-9"/>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79C64593" w14:textId="77777777" w:rsidR="00D760E5" w:rsidRDefault="00000000">
            <w:pPr>
              <w:pStyle w:val="TableParagraph"/>
              <w:ind w:left="15"/>
              <w:jc w:val="center"/>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5"/>
                <w:sz w:val="20"/>
                <w:szCs w:val="20"/>
              </w:rPr>
              <w:t>15</w:t>
            </w:r>
          </w:p>
        </w:tc>
      </w:tr>
      <w:tr w:rsidR="00D760E5" w14:paraId="73468856" w14:textId="77777777" w:rsidTr="40CAFB3C">
        <w:trPr>
          <w:trHeight w:val="776"/>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7D892B5B" w14:textId="77777777" w:rsidR="00D760E5" w:rsidRDefault="00000000">
            <w:pPr>
              <w:pStyle w:val="TableParagraph"/>
              <w:spacing w:before="8" w:line="264" w:lineRule="exact"/>
              <w:ind w:left="122"/>
              <w:rPr>
                <w:rStyle w:val="None"/>
                <w:rFonts w:ascii="Arial" w:eastAsia="Arial" w:hAnsi="Arial" w:cs="Arial"/>
                <w:spacing w:val="-3"/>
                <w:sz w:val="20"/>
                <w:szCs w:val="20"/>
              </w:rPr>
            </w:pPr>
            <w:r>
              <w:rPr>
                <w:rStyle w:val="None"/>
                <w:rFonts w:ascii="Arial" w:hAnsi="Arial"/>
                <w:spacing w:val="-3"/>
                <w:sz w:val="20"/>
                <w:szCs w:val="20"/>
              </w:rPr>
              <w:t>College</w:t>
            </w:r>
            <w:r>
              <w:rPr>
                <w:rStyle w:val="None"/>
                <w:rFonts w:ascii="Arial" w:hAnsi="Arial"/>
                <w:sz w:val="20"/>
                <w:szCs w:val="20"/>
              </w:rPr>
              <w:t xml:space="preserve"> </w:t>
            </w:r>
            <w:r>
              <w:rPr>
                <w:rStyle w:val="None"/>
                <w:rFonts w:ascii="Arial" w:hAnsi="Arial"/>
                <w:spacing w:val="-3"/>
                <w:sz w:val="20"/>
                <w:szCs w:val="20"/>
              </w:rPr>
              <w:t>review</w:t>
            </w:r>
            <w:r>
              <w:rPr>
                <w:rStyle w:val="None"/>
                <w:rFonts w:ascii="Arial" w:hAnsi="Arial"/>
                <w:spacing w:val="1"/>
                <w:sz w:val="20"/>
                <w:szCs w:val="20"/>
              </w:rPr>
              <w:t xml:space="preserve"> </w:t>
            </w:r>
            <w:r>
              <w:rPr>
                <w:rStyle w:val="None"/>
                <w:rFonts w:ascii="Arial" w:hAnsi="Arial"/>
                <w:spacing w:val="-3"/>
                <w:sz w:val="20"/>
                <w:szCs w:val="20"/>
              </w:rPr>
              <w:t>committee</w:t>
            </w:r>
          </w:p>
          <w:p w14:paraId="34994C82" w14:textId="77777777" w:rsidR="00D760E5" w:rsidRDefault="00000000">
            <w:pPr>
              <w:pStyle w:val="TableParagraph"/>
              <w:spacing w:before="2" w:line="254" w:lineRule="exact"/>
              <w:ind w:left="122"/>
            </w:pPr>
            <w:r>
              <w:rPr>
                <w:rStyle w:val="None"/>
                <w:rFonts w:ascii="Arial" w:hAnsi="Arial"/>
                <w:sz w:val="20"/>
                <w:szCs w:val="20"/>
              </w:rPr>
              <w:t xml:space="preserve">review completed and </w:t>
            </w:r>
            <w:r>
              <w:rPr>
                <w:rStyle w:val="None"/>
                <w:rFonts w:ascii="Arial" w:hAnsi="Arial"/>
                <w:spacing w:val="-1"/>
                <w:sz w:val="20"/>
                <w:szCs w:val="20"/>
              </w:rPr>
              <w:t>dossier</w:t>
            </w:r>
            <w:r>
              <w:rPr>
                <w:rStyle w:val="None"/>
                <w:rFonts w:ascii="Arial" w:hAnsi="Arial"/>
                <w:spacing w:val="-11"/>
                <w:sz w:val="20"/>
                <w:szCs w:val="20"/>
              </w:rPr>
              <w:t xml:space="preserve"> </w:t>
            </w:r>
            <w:r>
              <w:rPr>
                <w:rStyle w:val="None"/>
                <w:rFonts w:ascii="Arial" w:hAnsi="Arial"/>
                <w:spacing w:val="-1"/>
                <w:sz w:val="20"/>
                <w:szCs w:val="20"/>
              </w:rPr>
              <w:t>forwarded</w:t>
            </w:r>
            <w:r>
              <w:rPr>
                <w:rStyle w:val="None"/>
                <w:rFonts w:ascii="Arial" w:hAnsi="Arial"/>
                <w:spacing w:val="-11"/>
                <w:sz w:val="20"/>
                <w:szCs w:val="20"/>
              </w:rPr>
              <w:t xml:space="preserve"> </w:t>
            </w:r>
            <w:r>
              <w:rPr>
                <w:rStyle w:val="None"/>
                <w:rFonts w:ascii="Arial" w:hAnsi="Arial"/>
                <w:spacing w:val="-1"/>
                <w:sz w:val="20"/>
                <w:szCs w:val="20"/>
              </w:rPr>
              <w:t>to</w:t>
            </w:r>
            <w:r>
              <w:rPr>
                <w:rStyle w:val="None"/>
                <w:rFonts w:ascii="Arial" w:hAnsi="Arial"/>
                <w:spacing w:val="-10"/>
                <w:sz w:val="20"/>
                <w:szCs w:val="20"/>
              </w:rPr>
              <w:t xml:space="preserve"> </w:t>
            </w:r>
            <w:r>
              <w:rPr>
                <w:rStyle w:val="None"/>
                <w:rFonts w:ascii="Arial" w:hAnsi="Arial"/>
                <w:spacing w:val="-1"/>
                <w:sz w:val="20"/>
                <w:szCs w:val="20"/>
              </w:rPr>
              <w:t>dean</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33" w:type="dxa"/>
              <w:bottom w:w="80" w:type="dxa"/>
              <w:right w:w="80" w:type="dxa"/>
            </w:tcMar>
            <w:vAlign w:val="center"/>
          </w:tcPr>
          <w:p w14:paraId="44A7EBBC" w14:textId="77777777" w:rsidR="00D760E5" w:rsidRDefault="40CAFB3C" w:rsidP="40CAFB3C">
            <w:pPr>
              <w:pStyle w:val="TableParagraph"/>
            </w:pPr>
            <w:r>
              <w:rPr>
                <w:rStyle w:val="None"/>
                <w:rFonts w:ascii="Arial" w:hAnsi="Arial"/>
                <w:spacing w:val="-1"/>
                <w:sz w:val="20"/>
                <w:szCs w:val="20"/>
              </w:rPr>
              <w:t>January</w:t>
            </w:r>
            <w:r>
              <w:rPr>
                <w:rStyle w:val="None"/>
                <w:rFonts w:ascii="Arial" w:hAnsi="Arial"/>
                <w:spacing w:val="-9"/>
                <w:sz w:val="20"/>
                <w:szCs w:val="20"/>
              </w:rPr>
              <w:t xml:space="preserve"> </w:t>
            </w:r>
            <w:r>
              <w:rPr>
                <w:rStyle w:val="None"/>
                <w:rFonts w:ascii="Arial" w:hAnsi="Arial"/>
                <w:spacing w:val="-5"/>
                <w:sz w:val="20"/>
                <w:szCs w:val="20"/>
              </w:rPr>
              <w:t>15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01" w:type="dxa"/>
              <w:bottom w:w="80" w:type="dxa"/>
              <w:right w:w="80" w:type="dxa"/>
            </w:tcMar>
            <w:vAlign w:val="center"/>
          </w:tcPr>
          <w:p w14:paraId="1416F57D" w14:textId="77777777" w:rsidR="00D760E5" w:rsidRDefault="40CAFB3C" w:rsidP="40CAFB3C">
            <w:pPr>
              <w:pStyle w:val="TableParagraph"/>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3BB1C9CD" w14:textId="77777777" w:rsidR="00D760E5" w:rsidRDefault="00000000">
            <w:pPr>
              <w:pStyle w:val="TableParagraph"/>
              <w:ind w:left="15"/>
              <w:jc w:val="center"/>
            </w:pPr>
            <w:r>
              <w:rPr>
                <w:rStyle w:val="None"/>
                <w:rFonts w:ascii="Arial" w:hAnsi="Arial"/>
                <w:spacing w:val="-1"/>
                <w:sz w:val="20"/>
                <w:szCs w:val="20"/>
              </w:rPr>
              <w:t>March</w:t>
            </w:r>
            <w:r>
              <w:rPr>
                <w:rStyle w:val="None"/>
                <w:rFonts w:ascii="Arial" w:hAnsi="Arial"/>
                <w:spacing w:val="-9"/>
                <w:sz w:val="20"/>
                <w:szCs w:val="20"/>
              </w:rPr>
              <w:t xml:space="preserve"> </w:t>
            </w:r>
            <w:r>
              <w:rPr>
                <w:rStyle w:val="None"/>
                <w:rFonts w:ascii="Arial" w:hAnsi="Arial"/>
                <w:spacing w:val="-5"/>
                <w:sz w:val="20"/>
                <w:szCs w:val="20"/>
              </w:rPr>
              <w:t>15</w:t>
            </w:r>
          </w:p>
        </w:tc>
      </w:tr>
      <w:tr w:rsidR="00D760E5" w14:paraId="760A35C2" w14:textId="77777777" w:rsidTr="40CAFB3C">
        <w:trPr>
          <w:trHeight w:val="1040"/>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275" w:type="dxa"/>
            </w:tcMar>
            <w:vAlign w:val="center"/>
          </w:tcPr>
          <w:p w14:paraId="123E0102" w14:textId="77777777" w:rsidR="00D760E5" w:rsidRDefault="00000000">
            <w:pPr>
              <w:pStyle w:val="TableParagraph"/>
              <w:spacing w:before="3" w:line="260" w:lineRule="exact"/>
              <w:ind w:left="122" w:right="195"/>
              <w:jc w:val="both"/>
            </w:pPr>
            <w:r>
              <w:rPr>
                <w:rStyle w:val="None"/>
                <w:rFonts w:ascii="Arial" w:hAnsi="Arial"/>
                <w:spacing w:val="-1"/>
                <w:sz w:val="20"/>
                <w:szCs w:val="20"/>
              </w:rPr>
              <w:t>Factual</w:t>
            </w:r>
            <w:r>
              <w:rPr>
                <w:rStyle w:val="None"/>
                <w:rFonts w:ascii="Arial" w:hAnsi="Arial"/>
                <w:spacing w:val="-11"/>
                <w:sz w:val="20"/>
                <w:szCs w:val="20"/>
              </w:rPr>
              <w:t xml:space="preserve"> </w:t>
            </w:r>
            <w:r>
              <w:rPr>
                <w:rStyle w:val="None"/>
                <w:rFonts w:ascii="Arial" w:hAnsi="Arial"/>
                <w:spacing w:val="-1"/>
                <w:sz w:val="20"/>
                <w:szCs w:val="20"/>
              </w:rPr>
              <w:t>changes</w:t>
            </w:r>
            <w:r>
              <w:rPr>
                <w:rStyle w:val="None"/>
                <w:rFonts w:ascii="Arial" w:hAnsi="Arial"/>
                <w:spacing w:val="-10"/>
                <w:sz w:val="20"/>
                <w:szCs w:val="20"/>
              </w:rPr>
              <w:t xml:space="preserve"> </w:t>
            </w:r>
            <w:r>
              <w:rPr>
                <w:rStyle w:val="None"/>
                <w:rFonts w:ascii="Arial" w:hAnsi="Arial"/>
                <w:spacing w:val="-1"/>
                <w:sz w:val="20"/>
                <w:szCs w:val="20"/>
              </w:rPr>
              <w:t>or</w:t>
            </w:r>
            <w:r>
              <w:rPr>
                <w:rStyle w:val="None"/>
                <w:rFonts w:ascii="Arial" w:hAnsi="Arial"/>
                <w:spacing w:val="-11"/>
                <w:sz w:val="20"/>
                <w:szCs w:val="20"/>
              </w:rPr>
              <w:t xml:space="preserve"> </w:t>
            </w:r>
            <w:r>
              <w:rPr>
                <w:rStyle w:val="None"/>
                <w:rFonts w:ascii="Arial" w:hAnsi="Arial"/>
                <w:spacing w:val="-1"/>
                <w:sz w:val="20"/>
                <w:szCs w:val="20"/>
              </w:rPr>
              <w:t xml:space="preserve">relevant </w:t>
            </w:r>
            <w:r>
              <w:rPr>
                <w:rStyle w:val="None"/>
                <w:rFonts w:ascii="Arial" w:hAnsi="Arial"/>
                <w:spacing w:val="-3"/>
                <w:sz w:val="20"/>
                <w:szCs w:val="20"/>
              </w:rPr>
              <w:t>dossier</w:t>
            </w:r>
            <w:r>
              <w:rPr>
                <w:rStyle w:val="None"/>
                <w:rFonts w:ascii="Arial" w:hAnsi="Arial"/>
                <w:spacing w:val="-9"/>
                <w:sz w:val="20"/>
                <w:szCs w:val="20"/>
              </w:rPr>
              <w:t xml:space="preserve"> </w:t>
            </w:r>
            <w:r>
              <w:rPr>
                <w:rStyle w:val="None"/>
                <w:rFonts w:ascii="Arial" w:hAnsi="Arial"/>
                <w:spacing w:val="-3"/>
                <w:sz w:val="20"/>
                <w:szCs w:val="20"/>
              </w:rPr>
              <w:t>additions</w:t>
            </w:r>
            <w:r>
              <w:rPr>
                <w:rStyle w:val="None"/>
                <w:rFonts w:ascii="Arial" w:hAnsi="Arial"/>
                <w:spacing w:val="-7"/>
                <w:sz w:val="20"/>
                <w:szCs w:val="20"/>
              </w:rPr>
              <w:t xml:space="preserve"> </w:t>
            </w:r>
            <w:r>
              <w:rPr>
                <w:rStyle w:val="None"/>
                <w:rFonts w:ascii="Arial" w:hAnsi="Arial"/>
                <w:spacing w:val="-3"/>
                <w:sz w:val="20"/>
                <w:szCs w:val="20"/>
              </w:rPr>
              <w:t xml:space="preserve">submitted </w:t>
            </w:r>
            <w:r>
              <w:rPr>
                <w:rStyle w:val="None"/>
                <w:rFonts w:ascii="Arial" w:hAnsi="Arial"/>
                <w:sz w:val="20"/>
                <w:szCs w:val="20"/>
              </w:rPr>
              <w:t>to Department Head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31" w:type="dxa"/>
              <w:bottom w:w="80" w:type="dxa"/>
              <w:right w:w="80" w:type="dxa"/>
            </w:tcMar>
            <w:vAlign w:val="center"/>
          </w:tcPr>
          <w:p w14:paraId="35365007" w14:textId="77777777" w:rsidR="00D760E5" w:rsidRDefault="40CAFB3C" w:rsidP="40CAFB3C">
            <w:pPr>
              <w:pStyle w:val="TableParagraph"/>
            </w:pPr>
            <w:r>
              <w:rPr>
                <w:rStyle w:val="None"/>
                <w:rFonts w:ascii="Arial" w:hAnsi="Arial"/>
                <w:spacing w:val="-3"/>
                <w:sz w:val="20"/>
                <w:szCs w:val="20"/>
              </w:rPr>
              <w:t>February</w:t>
            </w:r>
            <w:r>
              <w:rPr>
                <w:rStyle w:val="None"/>
                <w:rFonts w:ascii="Arial" w:hAnsi="Arial"/>
                <w:spacing w:val="2"/>
                <w:sz w:val="20"/>
                <w:szCs w:val="20"/>
              </w:rPr>
              <w:t xml:space="preserve"> </w:t>
            </w:r>
            <w:r>
              <w:rPr>
                <w:rStyle w:val="None"/>
                <w:rFonts w:ascii="Arial" w:hAnsi="Arial"/>
                <w:spacing w:val="-10"/>
                <w:sz w:val="20"/>
                <w:szCs w:val="20"/>
              </w:rP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652" w:type="dxa"/>
              <w:bottom w:w="80" w:type="dxa"/>
              <w:right w:w="628" w:type="dxa"/>
            </w:tcMar>
            <w:vAlign w:val="center"/>
          </w:tcPr>
          <w:p w14:paraId="680296A4" w14:textId="77777777" w:rsidR="00D760E5" w:rsidRDefault="40CAFB3C" w:rsidP="40CAFB3C">
            <w:pPr>
              <w:pStyle w:val="TableParagraph"/>
              <w:ind w:right="548"/>
              <w:jc w:val="center"/>
            </w:pPr>
            <w:r>
              <w:rPr>
                <w:rStyle w:val="None"/>
                <w:rFonts w:ascii="Arial" w:hAnsi="Arial"/>
                <w:spacing w:val="-5"/>
                <w:sz w:val="20"/>
                <w:szCs w:val="20"/>
              </w:rPr>
              <w:t>NA</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1" w:type="dxa"/>
            </w:tcMar>
            <w:vAlign w:val="center"/>
          </w:tcPr>
          <w:p w14:paraId="27316406" w14:textId="77777777" w:rsidR="00D760E5" w:rsidRDefault="00000000">
            <w:pPr>
              <w:pStyle w:val="TableParagraph"/>
              <w:ind w:left="15" w:right="1"/>
              <w:jc w:val="center"/>
            </w:pPr>
            <w:r>
              <w:rPr>
                <w:rStyle w:val="None"/>
                <w:rFonts w:ascii="Arial" w:hAnsi="Arial"/>
                <w:spacing w:val="-5"/>
                <w:sz w:val="20"/>
                <w:szCs w:val="20"/>
              </w:rPr>
              <w:t>NA</w:t>
            </w:r>
          </w:p>
        </w:tc>
      </w:tr>
      <w:tr w:rsidR="00D760E5" w14:paraId="7D436F42" w14:textId="77777777" w:rsidTr="40CAFB3C">
        <w:trPr>
          <w:trHeight w:val="267"/>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4B8C8527" w14:textId="77777777" w:rsidR="00D760E5" w:rsidRDefault="00000000">
            <w:pPr>
              <w:pStyle w:val="TableParagraph"/>
              <w:spacing w:line="268" w:lineRule="exact"/>
              <w:ind w:left="122"/>
            </w:pPr>
            <w:r>
              <w:rPr>
                <w:rStyle w:val="None"/>
                <w:rFonts w:ascii="Arial" w:hAnsi="Arial"/>
                <w:sz w:val="20"/>
                <w:szCs w:val="20"/>
              </w:rPr>
              <w:t>Dean’s</w:t>
            </w:r>
            <w:r>
              <w:rPr>
                <w:rStyle w:val="None"/>
                <w:rFonts w:ascii="Arial" w:hAnsi="Arial"/>
                <w:spacing w:val="-13"/>
                <w:sz w:val="20"/>
                <w:szCs w:val="20"/>
              </w:rPr>
              <w:t xml:space="preserve"> </w:t>
            </w:r>
            <w:r>
              <w:rPr>
                <w:rStyle w:val="None"/>
                <w:rFonts w:ascii="Arial" w:hAnsi="Arial"/>
                <w:sz w:val="20"/>
                <w:szCs w:val="20"/>
              </w:rPr>
              <w:t>review</w:t>
            </w:r>
            <w:r>
              <w:rPr>
                <w:rStyle w:val="None"/>
                <w:rFonts w:ascii="Arial" w:hAnsi="Arial"/>
                <w:spacing w:val="-9"/>
                <w:sz w:val="20"/>
                <w:szCs w:val="20"/>
              </w:rPr>
              <w:t xml:space="preserve"> </w:t>
            </w:r>
            <w:r>
              <w:rPr>
                <w:rStyle w:val="None"/>
                <w:rFonts w:ascii="Arial" w:hAnsi="Arial"/>
                <w:spacing w:val="-1"/>
                <w:sz w:val="20"/>
                <w:szCs w:val="20"/>
              </w:rPr>
              <w:t>complete.</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23" w:type="dxa"/>
              <w:bottom w:w="80" w:type="dxa"/>
              <w:right w:w="80" w:type="dxa"/>
            </w:tcMar>
            <w:vAlign w:val="center"/>
          </w:tcPr>
          <w:p w14:paraId="1233FF82" w14:textId="77777777" w:rsidR="00D760E5" w:rsidRDefault="40CAFB3C" w:rsidP="40CAFB3C">
            <w:pPr>
              <w:pStyle w:val="TableParagraph"/>
              <w:spacing w:before="4"/>
            </w:pPr>
            <w:r>
              <w:rPr>
                <w:rStyle w:val="None"/>
                <w:rFonts w:ascii="Arial" w:hAnsi="Arial"/>
                <w:spacing w:val="-3"/>
                <w:sz w:val="20"/>
                <w:szCs w:val="20"/>
              </w:rPr>
              <w:t>February</w:t>
            </w:r>
            <w:r>
              <w:rPr>
                <w:rStyle w:val="None"/>
                <w:rFonts w:ascii="Arial" w:hAnsi="Arial"/>
                <w:spacing w:val="5"/>
                <w:sz w:val="20"/>
                <w:szCs w:val="20"/>
              </w:rPr>
              <w:t xml:space="preserve"> </w:t>
            </w:r>
            <w:r>
              <w:rPr>
                <w:rStyle w:val="None"/>
                <w:rFonts w:ascii="Arial" w:hAnsi="Arial"/>
                <w:spacing w:val="-5"/>
                <w:sz w:val="20"/>
                <w:szCs w:val="20"/>
              </w:rPr>
              <w:t>28*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92" w:type="dxa"/>
              <w:bottom w:w="80" w:type="dxa"/>
              <w:right w:w="80" w:type="dxa"/>
            </w:tcMar>
            <w:vAlign w:val="center"/>
          </w:tcPr>
          <w:p w14:paraId="08EA3EA6" w14:textId="77777777" w:rsidR="00D760E5" w:rsidRDefault="40CAFB3C" w:rsidP="40CAFB3C">
            <w:pPr>
              <w:pStyle w:val="TableParagraph"/>
              <w:spacing w:before="4"/>
            </w:pPr>
            <w:r>
              <w:rPr>
                <w:rStyle w:val="None"/>
                <w:rFonts w:ascii="Arial" w:hAnsi="Arial"/>
                <w:spacing w:val="-3"/>
                <w:sz w:val="20"/>
                <w:szCs w:val="20"/>
              </w:rPr>
              <w:t>March</w:t>
            </w:r>
            <w:r>
              <w:rPr>
                <w:rStyle w:val="None"/>
                <w:rFonts w:ascii="Arial" w:hAnsi="Arial"/>
                <w:sz w:val="20"/>
                <w:szCs w:val="20"/>
              </w:rPr>
              <w:t xml:space="preserve"> </w:t>
            </w:r>
            <w:r>
              <w:rPr>
                <w:rStyle w:val="None"/>
                <w:rFonts w:ascii="Arial" w:hAnsi="Arial"/>
                <w:spacing w:val="-5"/>
                <w:sz w:val="20"/>
                <w:szCs w:val="20"/>
              </w:rPr>
              <w:t>15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1" w:type="dxa"/>
            </w:tcMar>
            <w:vAlign w:val="center"/>
          </w:tcPr>
          <w:p w14:paraId="4FD5CB3E" w14:textId="77777777" w:rsidR="00D760E5" w:rsidRDefault="00000000">
            <w:pPr>
              <w:pStyle w:val="TableParagraph"/>
              <w:spacing w:before="4"/>
              <w:ind w:left="15" w:right="1"/>
              <w:jc w:val="center"/>
            </w:pPr>
            <w:r>
              <w:rPr>
                <w:rStyle w:val="None"/>
                <w:rFonts w:ascii="Arial" w:hAnsi="Arial"/>
                <w:spacing w:val="-1"/>
                <w:sz w:val="20"/>
                <w:szCs w:val="20"/>
              </w:rPr>
              <w:t>April</w:t>
            </w:r>
            <w:r>
              <w:rPr>
                <w:rStyle w:val="None"/>
                <w:rFonts w:ascii="Arial" w:hAnsi="Arial"/>
                <w:spacing w:val="-10"/>
                <w:sz w:val="20"/>
                <w:szCs w:val="20"/>
              </w:rPr>
              <w:t xml:space="preserve"> </w:t>
            </w:r>
            <w:r>
              <w:rPr>
                <w:rStyle w:val="None"/>
                <w:rFonts w:ascii="Arial" w:hAnsi="Arial"/>
                <w:spacing w:val="-7"/>
                <w:sz w:val="20"/>
                <w:szCs w:val="20"/>
              </w:rPr>
              <w:t>15</w:t>
            </w:r>
          </w:p>
        </w:tc>
      </w:tr>
      <w:tr w:rsidR="00D760E5" w14:paraId="6C0F2ED1" w14:textId="77777777" w:rsidTr="40CAFB3C">
        <w:trPr>
          <w:trHeight w:val="502"/>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496" w:type="dxa"/>
            </w:tcMar>
            <w:vAlign w:val="center"/>
          </w:tcPr>
          <w:p w14:paraId="600B1EBB" w14:textId="77777777" w:rsidR="00D760E5" w:rsidRDefault="00000000">
            <w:pPr>
              <w:pStyle w:val="TableParagraph"/>
              <w:spacing w:before="8" w:line="250" w:lineRule="exact"/>
              <w:ind w:left="122" w:right="416"/>
            </w:pPr>
            <w:r>
              <w:rPr>
                <w:rStyle w:val="None"/>
                <w:rFonts w:ascii="Arial" w:hAnsi="Arial"/>
                <w:spacing w:val="-5"/>
                <w:sz w:val="20"/>
                <w:szCs w:val="20"/>
              </w:rPr>
              <w:t>University</w:t>
            </w:r>
            <w:r>
              <w:rPr>
                <w:rStyle w:val="None"/>
                <w:rFonts w:ascii="Arial" w:hAnsi="Arial"/>
                <w:spacing w:val="-18"/>
                <w:sz w:val="20"/>
                <w:szCs w:val="20"/>
              </w:rPr>
              <w:t xml:space="preserve"> </w:t>
            </w:r>
            <w:r>
              <w:rPr>
                <w:rStyle w:val="None"/>
                <w:rFonts w:ascii="Arial" w:hAnsi="Arial"/>
                <w:spacing w:val="-5"/>
                <w:sz w:val="20"/>
                <w:szCs w:val="20"/>
              </w:rPr>
              <w:t xml:space="preserve">review </w:t>
            </w:r>
            <w:r>
              <w:rPr>
                <w:rStyle w:val="None"/>
                <w:rFonts w:ascii="Arial" w:hAnsi="Arial"/>
                <w:spacing w:val="-1"/>
                <w:sz w:val="20"/>
                <w:szCs w:val="20"/>
              </w:rPr>
              <w:t>completed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91" w:type="dxa"/>
              <w:bottom w:w="80" w:type="dxa"/>
              <w:right w:w="80" w:type="dxa"/>
            </w:tcMar>
            <w:vAlign w:val="center"/>
          </w:tcPr>
          <w:p w14:paraId="256B51BC" w14:textId="77777777" w:rsidR="00D760E5" w:rsidRDefault="40CAFB3C" w:rsidP="40CAFB3C">
            <w:pPr>
              <w:pStyle w:val="TableParagraph"/>
              <w:spacing w:before="126"/>
            </w:pPr>
            <w:r>
              <w:rPr>
                <w:rStyle w:val="None"/>
                <w:rFonts w:ascii="Arial" w:hAnsi="Arial"/>
                <w:spacing w:val="-2"/>
                <w:sz w:val="20"/>
                <w:szCs w:val="20"/>
              </w:rPr>
              <w:t>Mid-</w:t>
            </w:r>
            <w:r>
              <w:rPr>
                <w:rStyle w:val="None"/>
                <w:rFonts w:ascii="Arial" w:hAnsi="Arial"/>
                <w:spacing w:val="-1"/>
                <w:sz w:val="20"/>
                <w:szCs w:val="20"/>
              </w:rPr>
              <w:t>April</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651" w:type="dxa"/>
              <w:bottom w:w="80" w:type="dxa"/>
              <w:right w:w="628" w:type="dxa"/>
            </w:tcMar>
            <w:vAlign w:val="center"/>
          </w:tcPr>
          <w:p w14:paraId="58D527FB" w14:textId="77777777" w:rsidR="00D760E5" w:rsidRDefault="40CAFB3C" w:rsidP="40CAFB3C">
            <w:pPr>
              <w:pStyle w:val="TableParagraph"/>
              <w:spacing w:before="126"/>
              <w:ind w:right="548"/>
              <w:jc w:val="center"/>
            </w:pPr>
            <w:r>
              <w:rPr>
                <w:rStyle w:val="None"/>
                <w:rFonts w:ascii="Arial" w:hAnsi="Arial"/>
                <w:spacing w:val="-5"/>
                <w:sz w:val="20"/>
                <w:szCs w:val="20"/>
              </w:rPr>
              <w:t>NA</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39818827" w14:textId="77777777" w:rsidR="00D760E5" w:rsidRDefault="00000000">
            <w:pPr>
              <w:pStyle w:val="TableParagraph"/>
              <w:spacing w:before="126"/>
              <w:ind w:left="15"/>
              <w:jc w:val="center"/>
            </w:pPr>
            <w:r>
              <w:rPr>
                <w:rStyle w:val="None"/>
                <w:rFonts w:ascii="Arial" w:hAnsi="Arial"/>
                <w:spacing w:val="-5"/>
                <w:sz w:val="20"/>
                <w:szCs w:val="20"/>
              </w:rPr>
              <w:t>NA</w:t>
            </w:r>
          </w:p>
        </w:tc>
      </w:tr>
      <w:tr w:rsidR="00D760E5" w14:paraId="338336DA" w14:textId="77777777" w:rsidTr="40CAFB3C">
        <w:trPr>
          <w:trHeight w:val="443"/>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202" w:type="dxa"/>
              <w:bottom w:w="80" w:type="dxa"/>
              <w:right w:w="80" w:type="dxa"/>
            </w:tcMar>
            <w:vAlign w:val="center"/>
          </w:tcPr>
          <w:p w14:paraId="5AEDD25C" w14:textId="77777777" w:rsidR="00D760E5" w:rsidRDefault="00000000">
            <w:pPr>
              <w:pStyle w:val="TableParagraph"/>
              <w:spacing w:before="88"/>
              <w:ind w:left="122"/>
            </w:pPr>
            <w:r>
              <w:rPr>
                <w:rStyle w:val="None"/>
                <w:rFonts w:ascii="Arial" w:hAnsi="Arial"/>
                <w:spacing w:val="-1"/>
                <w:sz w:val="20"/>
                <w:szCs w:val="20"/>
              </w:rPr>
              <w:t>Candidates</w:t>
            </w:r>
            <w:r>
              <w:rPr>
                <w:rStyle w:val="None"/>
                <w:rFonts w:ascii="Arial" w:hAnsi="Arial"/>
                <w:spacing w:val="-2"/>
                <w:sz w:val="20"/>
                <w:szCs w:val="20"/>
              </w:rPr>
              <w:t xml:space="preserve"> </w:t>
            </w:r>
            <w:r>
              <w:rPr>
                <w:rStyle w:val="None"/>
                <w:rFonts w:ascii="Arial" w:hAnsi="Arial"/>
                <w:spacing w:val="-1"/>
                <w:sz w:val="20"/>
                <w:szCs w:val="20"/>
              </w:rPr>
              <w:t>are notified</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66" w:type="dxa"/>
              <w:bottom w:w="80" w:type="dxa"/>
              <w:right w:w="935" w:type="dxa"/>
            </w:tcMar>
            <w:vAlign w:val="center"/>
          </w:tcPr>
          <w:p w14:paraId="24F01078" w14:textId="2C9D3F8E" w:rsidR="00D760E5" w:rsidRDefault="00D760E5" w:rsidP="40CAFB3C">
            <w:pPr>
              <w:pStyle w:val="TableParagraph"/>
              <w:spacing w:before="128"/>
              <w:rPr>
                <w:rStyle w:val="None"/>
                <w:rFonts w:ascii="Arial" w:hAnsi="Arial"/>
                <w:sz w:val="20"/>
                <w:szCs w:val="20"/>
              </w:rPr>
            </w:pPr>
          </w:p>
          <w:p w14:paraId="313920FB" w14:textId="15E332FC" w:rsidR="00D760E5" w:rsidRDefault="00D760E5" w:rsidP="40CAFB3C">
            <w:pPr>
              <w:pStyle w:val="TableParagraph"/>
              <w:spacing w:before="128"/>
              <w:rPr>
                <w:rStyle w:val="None"/>
                <w:rFonts w:ascii="Arial" w:hAnsi="Arial"/>
                <w:sz w:val="20"/>
                <w:szCs w:val="20"/>
              </w:rPr>
            </w:pPr>
          </w:p>
          <w:p w14:paraId="0CFE0C02" w14:textId="26F853BF" w:rsidR="00D760E5" w:rsidRDefault="22FDB1C1" w:rsidP="40CAFB3C">
            <w:pPr>
              <w:pStyle w:val="TableParagraph"/>
              <w:spacing w:before="128"/>
              <w:rPr>
                <w:rStyle w:val="None"/>
                <w:sz w:val="18"/>
                <w:szCs w:val="18"/>
              </w:rPr>
            </w:pPr>
            <w:r w:rsidRPr="40CAFB3C">
              <w:rPr>
                <w:rStyle w:val="None"/>
                <w:rFonts w:ascii="Arial" w:hAnsi="Arial"/>
                <w:sz w:val="20"/>
                <w:szCs w:val="20"/>
              </w:rPr>
              <w:t>May 5</w:t>
            </w:r>
            <w:r w:rsidR="5D789F81" w:rsidRPr="40CAFB3C">
              <w:rPr>
                <w:rStyle w:val="None"/>
                <w:sz w:val="18"/>
                <w:szCs w:val="18"/>
              </w:rPr>
              <w:t xml:space="preserve"> ^</w:t>
            </w:r>
          </w:p>
          <w:p w14:paraId="132D2974" w14:textId="29C42C80" w:rsidR="00D760E5" w:rsidRDefault="00D760E5" w:rsidP="40CAFB3C">
            <w:pPr>
              <w:pStyle w:val="TableParagraph"/>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778" w:type="dxa"/>
              <w:bottom w:w="80" w:type="dxa"/>
              <w:right w:w="80" w:type="dxa"/>
            </w:tcMar>
            <w:vAlign w:val="center"/>
          </w:tcPr>
          <w:p w14:paraId="2E606DDF" w14:textId="77777777" w:rsidR="00D760E5" w:rsidRDefault="40CAFB3C" w:rsidP="40CAFB3C">
            <w:pPr>
              <w:pStyle w:val="TableParagraph"/>
              <w:spacing w:before="128"/>
            </w:pPr>
            <w:r>
              <w:rPr>
                <w:rStyle w:val="None"/>
                <w:rFonts w:ascii="Arial" w:hAnsi="Arial"/>
                <w:spacing w:val="-5"/>
                <w:sz w:val="20"/>
                <w:szCs w:val="20"/>
              </w:rPr>
              <w:t>March</w:t>
            </w:r>
            <w:r>
              <w:rPr>
                <w:rStyle w:val="None"/>
                <w:rFonts w:ascii="Arial" w:hAnsi="Arial"/>
                <w:spacing w:val="-11"/>
                <w:sz w:val="20"/>
                <w:szCs w:val="20"/>
              </w:rPr>
              <w:t xml:space="preserve"> </w:t>
            </w:r>
            <w:r>
              <w:rPr>
                <w:rStyle w:val="None"/>
                <w:rFonts w:ascii="Arial" w:hAnsi="Arial"/>
                <w:spacing w:val="-5"/>
                <w:sz w:val="20"/>
                <w:szCs w:val="20"/>
              </w:rPr>
              <w:t>15</w:t>
            </w:r>
            <w:r>
              <w:rPr>
                <w:rStyle w:val="None"/>
                <w:rFonts w:ascii="Arial" w:hAnsi="Arial"/>
                <w:spacing w:val="-5"/>
                <w:sz w:val="20"/>
                <w:szCs w:val="20"/>
                <w:vertAlign w:val="superscript"/>
              </w:rPr>
              <w:t>#</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5" w:type="dxa"/>
              <w:bottom w:w="80" w:type="dxa"/>
              <w:right w:w="80" w:type="dxa"/>
            </w:tcMar>
            <w:vAlign w:val="center"/>
          </w:tcPr>
          <w:p w14:paraId="09C8884C" w14:textId="77777777" w:rsidR="00D760E5" w:rsidRDefault="00000000">
            <w:pPr>
              <w:pStyle w:val="TableParagraph"/>
              <w:spacing w:before="128"/>
              <w:ind w:left="15"/>
              <w:jc w:val="center"/>
            </w:pPr>
            <w:r>
              <w:rPr>
                <w:rStyle w:val="None"/>
                <w:rFonts w:ascii="Arial" w:hAnsi="Arial"/>
                <w:spacing w:val="-7"/>
                <w:sz w:val="20"/>
                <w:szCs w:val="20"/>
              </w:rPr>
              <w:t>April</w:t>
            </w:r>
            <w:r>
              <w:rPr>
                <w:rStyle w:val="None"/>
                <w:rFonts w:ascii="Arial" w:hAnsi="Arial"/>
                <w:spacing w:val="-5"/>
                <w:sz w:val="20"/>
                <w:szCs w:val="20"/>
              </w:rPr>
              <w:t xml:space="preserve"> 15</w:t>
            </w:r>
            <w:r>
              <w:rPr>
                <w:rStyle w:val="None"/>
                <w:rFonts w:ascii="Arial" w:hAnsi="Arial"/>
                <w:spacing w:val="-5"/>
                <w:sz w:val="20"/>
                <w:szCs w:val="20"/>
                <w:vertAlign w:val="superscript"/>
              </w:rPr>
              <w:t>#</w:t>
            </w:r>
          </w:p>
        </w:tc>
      </w:tr>
      <w:tr w:rsidR="00D760E5" w14:paraId="44E625BF" w14:textId="77777777" w:rsidTr="40CAFB3C">
        <w:trPr>
          <w:trHeight w:val="3637"/>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95" w:type="dxa"/>
              <w:bottom w:w="80" w:type="dxa"/>
              <w:right w:w="778" w:type="dxa"/>
            </w:tcMar>
            <w:vAlign w:val="center"/>
          </w:tcPr>
          <w:p w14:paraId="1D58D2E3" w14:textId="77777777" w:rsidR="00D760E5" w:rsidRDefault="00000000">
            <w:pPr>
              <w:pStyle w:val="TableParagraph"/>
              <w:spacing w:line="242" w:lineRule="auto"/>
              <w:ind w:left="115" w:right="698"/>
            </w:pPr>
            <w:r>
              <w:rPr>
                <w:rStyle w:val="None"/>
                <w:rFonts w:ascii="Arial" w:hAnsi="Arial"/>
                <w:sz w:val="20"/>
                <w:szCs w:val="20"/>
              </w:rPr>
              <w:t>Provision of a</w:t>
            </w:r>
            <w:r>
              <w:rPr>
                <w:rStyle w:val="None"/>
                <w:rFonts w:ascii="Arial" w:hAnsi="Arial"/>
                <w:spacing w:val="-3"/>
                <w:sz w:val="20"/>
                <w:szCs w:val="20"/>
              </w:rPr>
              <w:t>dditional</w:t>
            </w:r>
            <w:r>
              <w:rPr>
                <w:rStyle w:val="None"/>
                <w:rFonts w:ascii="Arial" w:hAnsi="Arial"/>
                <w:spacing w:val="-14"/>
                <w:sz w:val="20"/>
                <w:szCs w:val="20"/>
              </w:rPr>
              <w:t xml:space="preserve"> </w:t>
            </w:r>
            <w:r>
              <w:rPr>
                <w:rStyle w:val="None"/>
                <w:rFonts w:ascii="Arial" w:hAnsi="Arial"/>
                <w:spacing w:val="-3"/>
                <w:sz w:val="20"/>
                <w:szCs w:val="20"/>
              </w:rPr>
              <w:t>feedback</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44" w:type="dxa"/>
              <w:bottom w:w="80" w:type="dxa"/>
              <w:right w:w="80" w:type="dxa"/>
            </w:tcMar>
            <w:vAlign w:val="center"/>
          </w:tcPr>
          <w:p w14:paraId="40B33B29" w14:textId="77777777" w:rsidR="00D760E5" w:rsidRDefault="00000000">
            <w:pPr>
              <w:pStyle w:val="TableParagraph"/>
              <w:spacing w:before="8" w:line="267" w:lineRule="exact"/>
              <w:ind w:left="64"/>
              <w:rPr>
                <w:rStyle w:val="None"/>
                <w:rFonts w:ascii="Arial" w:eastAsia="Arial" w:hAnsi="Arial" w:cs="Arial"/>
                <w:spacing w:val="-1"/>
                <w:sz w:val="20"/>
                <w:szCs w:val="20"/>
              </w:rPr>
            </w:pPr>
            <w:r>
              <w:rPr>
                <w:rStyle w:val="None"/>
                <w:rFonts w:ascii="Arial" w:hAnsi="Arial"/>
                <w:sz w:val="20"/>
                <w:szCs w:val="20"/>
              </w:rPr>
              <w:t>None</w:t>
            </w:r>
            <w:r>
              <w:rPr>
                <w:rStyle w:val="None"/>
                <w:rFonts w:ascii="Arial" w:hAnsi="Arial"/>
                <w:spacing w:val="-11"/>
                <w:sz w:val="20"/>
                <w:szCs w:val="20"/>
              </w:rPr>
              <w:t xml:space="preserve"> </w:t>
            </w:r>
            <w:r>
              <w:rPr>
                <w:rStyle w:val="None"/>
                <w:rFonts w:ascii="Arial" w:hAnsi="Arial"/>
                <w:sz w:val="20"/>
                <w:szCs w:val="20"/>
              </w:rPr>
              <w:t>required.</w:t>
            </w:r>
            <w:r>
              <w:rPr>
                <w:rStyle w:val="None"/>
                <w:rFonts w:ascii="Arial" w:hAnsi="Arial"/>
                <w:spacing w:val="-11"/>
                <w:sz w:val="20"/>
                <w:szCs w:val="20"/>
              </w:rPr>
              <w:t xml:space="preserve"> </w:t>
            </w:r>
            <w:r>
              <w:rPr>
                <w:rStyle w:val="None"/>
                <w:rFonts w:ascii="Arial" w:hAnsi="Arial"/>
                <w:spacing w:val="-1"/>
                <w:sz w:val="20"/>
                <w:szCs w:val="20"/>
              </w:rPr>
              <w:t>However,</w:t>
            </w:r>
          </w:p>
          <w:p w14:paraId="1F2BA0EF" w14:textId="77777777" w:rsidR="00D760E5" w:rsidRDefault="00000000">
            <w:pPr>
              <w:pStyle w:val="TableParagraph"/>
              <w:spacing w:line="241" w:lineRule="exact"/>
              <w:ind w:left="96"/>
              <w:rPr>
                <w:rStyle w:val="None"/>
                <w:rFonts w:ascii="Arial" w:eastAsia="Arial" w:hAnsi="Arial" w:cs="Arial"/>
                <w:spacing w:val="-5"/>
                <w:sz w:val="20"/>
                <w:szCs w:val="20"/>
              </w:rPr>
            </w:pPr>
            <w:r>
              <w:rPr>
                <w:rStyle w:val="None"/>
                <w:rFonts w:ascii="Arial" w:hAnsi="Arial"/>
                <w:sz w:val="20"/>
                <w:szCs w:val="20"/>
              </w:rPr>
              <w:t>academic</w:t>
            </w:r>
            <w:r>
              <w:rPr>
                <w:rStyle w:val="None"/>
                <w:rFonts w:ascii="Arial" w:hAnsi="Arial"/>
                <w:spacing w:val="-11"/>
                <w:sz w:val="20"/>
                <w:szCs w:val="20"/>
              </w:rPr>
              <w:t xml:space="preserve"> </w:t>
            </w:r>
            <w:r>
              <w:rPr>
                <w:rStyle w:val="None"/>
                <w:rFonts w:ascii="Arial" w:hAnsi="Arial"/>
                <w:sz w:val="20"/>
                <w:szCs w:val="20"/>
              </w:rPr>
              <w:t>unit</w:t>
            </w:r>
            <w:r>
              <w:rPr>
                <w:rStyle w:val="None"/>
                <w:rFonts w:ascii="Arial" w:hAnsi="Arial"/>
                <w:spacing w:val="-11"/>
                <w:sz w:val="20"/>
                <w:szCs w:val="20"/>
              </w:rPr>
              <w:t xml:space="preserve"> </w:t>
            </w:r>
            <w:r>
              <w:rPr>
                <w:rStyle w:val="None"/>
                <w:rFonts w:ascii="Arial" w:hAnsi="Arial"/>
                <w:sz w:val="20"/>
                <w:szCs w:val="20"/>
              </w:rPr>
              <w:t>heads</w:t>
            </w:r>
            <w:r>
              <w:rPr>
                <w:rStyle w:val="None"/>
                <w:rFonts w:ascii="Arial" w:hAnsi="Arial"/>
                <w:spacing w:val="-11"/>
                <w:sz w:val="20"/>
                <w:szCs w:val="20"/>
              </w:rPr>
              <w:t xml:space="preserve"> </w:t>
            </w:r>
            <w:r>
              <w:rPr>
                <w:rStyle w:val="None"/>
                <w:rFonts w:ascii="Arial" w:hAnsi="Arial"/>
                <w:spacing w:val="-5"/>
                <w:sz w:val="20"/>
                <w:szCs w:val="20"/>
              </w:rPr>
              <w:t>are</w:t>
            </w:r>
          </w:p>
          <w:p w14:paraId="3FCAB511" w14:textId="77777777" w:rsidR="00D760E5" w:rsidRDefault="00000000">
            <w:pPr>
              <w:pStyle w:val="TableParagraph"/>
              <w:spacing w:line="236" w:lineRule="exact"/>
              <w:ind w:left="96"/>
              <w:rPr>
                <w:rStyle w:val="None"/>
                <w:rFonts w:ascii="Arial" w:eastAsia="Arial" w:hAnsi="Arial" w:cs="Arial"/>
                <w:spacing w:val="-3"/>
                <w:sz w:val="20"/>
                <w:szCs w:val="20"/>
              </w:rPr>
            </w:pPr>
            <w:r>
              <w:rPr>
                <w:rStyle w:val="None"/>
                <w:rFonts w:ascii="Arial" w:hAnsi="Arial"/>
                <w:sz w:val="20"/>
                <w:szCs w:val="20"/>
              </w:rPr>
              <w:t>encouraged</w:t>
            </w:r>
            <w:r>
              <w:rPr>
                <w:rStyle w:val="None"/>
                <w:rFonts w:ascii="Arial" w:hAnsi="Arial"/>
                <w:spacing w:val="-15"/>
                <w:sz w:val="20"/>
                <w:szCs w:val="20"/>
              </w:rPr>
              <w:t xml:space="preserve"> </w:t>
            </w:r>
            <w:r>
              <w:rPr>
                <w:rStyle w:val="None"/>
                <w:rFonts w:ascii="Arial" w:hAnsi="Arial"/>
                <w:sz w:val="20"/>
                <w:szCs w:val="20"/>
              </w:rPr>
              <w:t>to</w:t>
            </w:r>
            <w:r>
              <w:rPr>
                <w:rStyle w:val="None"/>
                <w:rFonts w:ascii="Arial" w:hAnsi="Arial"/>
                <w:spacing w:val="-13"/>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with</w:t>
            </w:r>
          </w:p>
          <w:p w14:paraId="47A5F471" w14:textId="77777777" w:rsidR="00D760E5" w:rsidRDefault="00000000">
            <w:pPr>
              <w:pStyle w:val="TableParagraph"/>
              <w:spacing w:line="238" w:lineRule="exact"/>
              <w:ind w:left="96"/>
              <w:rPr>
                <w:rStyle w:val="None"/>
                <w:rFonts w:ascii="Arial" w:eastAsia="Arial" w:hAnsi="Arial" w:cs="Arial"/>
                <w:spacing w:val="-1"/>
                <w:sz w:val="20"/>
                <w:szCs w:val="20"/>
              </w:rPr>
            </w:pPr>
            <w:r>
              <w:rPr>
                <w:rStyle w:val="None"/>
                <w:rFonts w:ascii="Arial" w:hAnsi="Arial"/>
                <w:spacing w:val="-1"/>
                <w:sz w:val="20"/>
                <w:szCs w:val="20"/>
              </w:rPr>
              <w:t>candidates</w:t>
            </w:r>
            <w:r>
              <w:rPr>
                <w:rStyle w:val="None"/>
                <w:rFonts w:ascii="Arial" w:hAnsi="Arial"/>
                <w:spacing w:val="-5"/>
                <w:sz w:val="20"/>
                <w:szCs w:val="20"/>
              </w:rPr>
              <w:t xml:space="preserve"> </w:t>
            </w:r>
            <w:r>
              <w:rPr>
                <w:rStyle w:val="None"/>
                <w:rFonts w:ascii="Arial" w:hAnsi="Arial"/>
                <w:spacing w:val="-1"/>
                <w:sz w:val="20"/>
                <w:szCs w:val="20"/>
              </w:rPr>
              <w:t>sometime</w:t>
            </w:r>
          </w:p>
          <w:p w14:paraId="38753A88" w14:textId="77777777" w:rsidR="00D760E5" w:rsidRDefault="00000000">
            <w:pPr>
              <w:pStyle w:val="TableParagraph"/>
              <w:spacing w:line="238" w:lineRule="exact"/>
              <w:ind w:left="96"/>
              <w:rPr>
                <w:rStyle w:val="None"/>
                <w:rFonts w:ascii="Arial" w:eastAsia="Arial" w:hAnsi="Arial" w:cs="Arial"/>
                <w:spacing w:val="-1"/>
                <w:sz w:val="20"/>
                <w:szCs w:val="20"/>
              </w:rPr>
            </w:pPr>
            <w:r>
              <w:rPr>
                <w:rStyle w:val="None"/>
                <w:rFonts w:ascii="Arial" w:hAnsi="Arial"/>
                <w:b/>
                <w:bCs/>
                <w:sz w:val="20"/>
                <w:szCs w:val="20"/>
              </w:rPr>
              <w:t>af</w:t>
            </w:r>
            <w:r>
              <w:rPr>
                <w:rStyle w:val="None"/>
                <w:rFonts w:ascii="Arial" w:hAnsi="Arial"/>
                <w:sz w:val="20"/>
                <w:szCs w:val="20"/>
              </w:rPr>
              <w:t>ter</w:t>
            </w:r>
            <w:r>
              <w:rPr>
                <w:rStyle w:val="None"/>
                <w:rFonts w:ascii="Arial" w:hAnsi="Arial"/>
                <w:spacing w:val="-7"/>
                <w:sz w:val="20"/>
                <w:szCs w:val="20"/>
              </w:rPr>
              <w:t xml:space="preserve"> </w:t>
            </w:r>
            <w:r>
              <w:rPr>
                <w:rStyle w:val="None"/>
                <w:rFonts w:ascii="Arial" w:hAnsi="Arial"/>
                <w:spacing w:val="-1"/>
                <w:sz w:val="20"/>
                <w:szCs w:val="20"/>
              </w:rPr>
              <w:t>notification.</w:t>
            </w:r>
          </w:p>
          <w:p w14:paraId="62EBF3C5" w14:textId="77777777" w:rsidR="00D760E5" w:rsidRDefault="00D760E5">
            <w:pPr>
              <w:pStyle w:val="TableParagraph"/>
              <w:spacing w:line="238" w:lineRule="exact"/>
              <w:ind w:left="96"/>
              <w:rPr>
                <w:rStyle w:val="None"/>
                <w:rFonts w:ascii="Arial" w:eastAsia="Arial" w:hAnsi="Arial" w:cs="Arial"/>
                <w:spacing w:val="-1"/>
                <w:sz w:val="20"/>
                <w:szCs w:val="20"/>
              </w:rPr>
            </w:pPr>
          </w:p>
          <w:p w14:paraId="0064A564"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pacing w:val="-1"/>
                <w:sz w:val="20"/>
                <w:szCs w:val="20"/>
              </w:rPr>
              <w:t>Candidates</w:t>
            </w:r>
            <w:r>
              <w:rPr>
                <w:rStyle w:val="None"/>
                <w:rFonts w:ascii="Arial" w:hAnsi="Arial"/>
                <w:spacing w:val="-10"/>
                <w:sz w:val="20"/>
                <w:szCs w:val="20"/>
              </w:rPr>
              <w:t xml:space="preserve"> </w:t>
            </w:r>
            <w:r>
              <w:rPr>
                <w:rStyle w:val="None"/>
                <w:rFonts w:ascii="Arial" w:hAnsi="Arial"/>
                <w:spacing w:val="-1"/>
                <w:sz w:val="20"/>
                <w:szCs w:val="20"/>
              </w:rPr>
              <w:t>may</w:t>
            </w:r>
            <w:r>
              <w:rPr>
                <w:rStyle w:val="None"/>
                <w:rFonts w:ascii="Arial" w:hAnsi="Arial"/>
                <w:spacing w:val="1"/>
                <w:sz w:val="20"/>
                <w:szCs w:val="20"/>
              </w:rPr>
              <w:t xml:space="preserve"> </w:t>
            </w:r>
            <w:r>
              <w:rPr>
                <w:rStyle w:val="None"/>
                <w:rFonts w:ascii="Arial" w:hAnsi="Arial"/>
                <w:spacing w:val="-3"/>
                <w:sz w:val="20"/>
                <w:szCs w:val="20"/>
              </w:rPr>
              <w:t>also</w:t>
            </w:r>
          </w:p>
          <w:p w14:paraId="487DEA4C" w14:textId="77777777" w:rsidR="00D760E5" w:rsidRDefault="00000000">
            <w:pPr>
              <w:pStyle w:val="TableParagraph"/>
              <w:spacing w:line="264" w:lineRule="exact"/>
              <w:ind w:left="96"/>
              <w:rPr>
                <w:rStyle w:val="None"/>
                <w:rFonts w:ascii="Arial" w:eastAsia="Arial" w:hAnsi="Arial" w:cs="Arial"/>
                <w:spacing w:val="-1"/>
                <w:sz w:val="20"/>
                <w:szCs w:val="20"/>
              </w:rPr>
            </w:pPr>
            <w:r>
              <w:rPr>
                <w:rStyle w:val="None"/>
                <w:rFonts w:ascii="Arial" w:hAnsi="Arial"/>
                <w:sz w:val="20"/>
                <w:szCs w:val="20"/>
              </w:rPr>
              <w:t>review</w:t>
            </w:r>
            <w:r>
              <w:rPr>
                <w:rStyle w:val="None"/>
                <w:rFonts w:ascii="Arial" w:hAnsi="Arial"/>
                <w:spacing w:val="-7"/>
                <w:sz w:val="20"/>
                <w:szCs w:val="20"/>
              </w:rPr>
              <w:t xml:space="preserve"> </w:t>
            </w:r>
            <w:r>
              <w:rPr>
                <w:rStyle w:val="None"/>
                <w:rFonts w:ascii="Arial" w:hAnsi="Arial"/>
                <w:spacing w:val="-1"/>
                <w:sz w:val="20"/>
                <w:szCs w:val="20"/>
              </w:rPr>
              <w:t>committee,</w:t>
            </w:r>
          </w:p>
          <w:p w14:paraId="7CB80BA1" w14:textId="77777777" w:rsidR="00D760E5" w:rsidRDefault="00000000">
            <w:pPr>
              <w:pStyle w:val="TableParagraph"/>
              <w:spacing w:line="266" w:lineRule="exact"/>
              <w:ind w:left="96"/>
              <w:rPr>
                <w:rStyle w:val="None"/>
                <w:rFonts w:ascii="Arial" w:eastAsia="Arial" w:hAnsi="Arial" w:cs="Arial"/>
                <w:spacing w:val="-5"/>
                <w:sz w:val="20"/>
                <w:szCs w:val="20"/>
              </w:rPr>
            </w:pPr>
            <w:r>
              <w:rPr>
                <w:rStyle w:val="None"/>
                <w:rFonts w:ascii="Arial" w:hAnsi="Arial"/>
                <w:spacing w:val="-1"/>
                <w:sz w:val="20"/>
                <w:szCs w:val="20"/>
              </w:rPr>
              <w:t>academic</w:t>
            </w:r>
            <w:r>
              <w:rPr>
                <w:rStyle w:val="None"/>
                <w:rFonts w:ascii="Arial" w:hAnsi="Arial"/>
                <w:spacing w:val="-11"/>
                <w:sz w:val="20"/>
                <w:szCs w:val="20"/>
              </w:rPr>
              <w:t xml:space="preserve"> </w:t>
            </w:r>
            <w:r>
              <w:rPr>
                <w:rStyle w:val="None"/>
                <w:rFonts w:ascii="Arial" w:hAnsi="Arial"/>
                <w:spacing w:val="-1"/>
                <w:sz w:val="20"/>
                <w:szCs w:val="20"/>
              </w:rPr>
              <w:t>unit</w:t>
            </w:r>
            <w:r>
              <w:rPr>
                <w:rStyle w:val="None"/>
                <w:rFonts w:ascii="Arial" w:hAnsi="Arial"/>
                <w:spacing w:val="-10"/>
                <w:sz w:val="20"/>
                <w:szCs w:val="20"/>
              </w:rPr>
              <w:t xml:space="preserve"> </w:t>
            </w:r>
            <w:r>
              <w:rPr>
                <w:rStyle w:val="None"/>
                <w:rFonts w:ascii="Arial" w:hAnsi="Arial"/>
                <w:spacing w:val="-1"/>
                <w:sz w:val="20"/>
                <w:szCs w:val="20"/>
              </w:rPr>
              <w:t>head,</w:t>
            </w:r>
            <w:r>
              <w:rPr>
                <w:rStyle w:val="None"/>
                <w:rFonts w:ascii="Arial" w:hAnsi="Arial"/>
                <w:spacing w:val="-10"/>
                <w:sz w:val="20"/>
                <w:szCs w:val="20"/>
              </w:rPr>
              <w:t xml:space="preserve"> </w:t>
            </w:r>
            <w:r>
              <w:rPr>
                <w:rStyle w:val="None"/>
                <w:rFonts w:ascii="Arial" w:hAnsi="Arial"/>
                <w:spacing w:val="-5"/>
                <w:sz w:val="20"/>
                <w:szCs w:val="20"/>
              </w:rPr>
              <w:t>and</w:t>
            </w:r>
          </w:p>
          <w:p w14:paraId="6A40E0C9" w14:textId="77777777" w:rsidR="00D760E5" w:rsidRDefault="00000000">
            <w:pPr>
              <w:pStyle w:val="TableParagraph"/>
              <w:spacing w:line="242" w:lineRule="exact"/>
              <w:ind w:left="96"/>
              <w:rPr>
                <w:rStyle w:val="None"/>
                <w:rFonts w:ascii="Arial" w:eastAsia="Arial" w:hAnsi="Arial" w:cs="Arial"/>
                <w:spacing w:val="-3"/>
                <w:sz w:val="20"/>
                <w:szCs w:val="20"/>
              </w:rPr>
            </w:pPr>
            <w:r>
              <w:rPr>
                <w:rStyle w:val="None"/>
                <w:rFonts w:ascii="Arial" w:hAnsi="Arial"/>
                <w:spacing w:val="-1"/>
                <w:sz w:val="20"/>
                <w:szCs w:val="20"/>
              </w:rPr>
              <w:t>dean’s</w:t>
            </w:r>
            <w:r>
              <w:rPr>
                <w:rStyle w:val="None"/>
                <w:rFonts w:ascii="Arial" w:hAnsi="Arial"/>
                <w:spacing w:val="-5"/>
                <w:sz w:val="20"/>
                <w:szCs w:val="20"/>
              </w:rPr>
              <w:t xml:space="preserve"> </w:t>
            </w:r>
            <w:r>
              <w:rPr>
                <w:rStyle w:val="None"/>
                <w:rFonts w:ascii="Arial" w:hAnsi="Arial"/>
                <w:spacing w:val="-1"/>
                <w:sz w:val="20"/>
                <w:szCs w:val="20"/>
              </w:rPr>
              <w:t>reports</w:t>
            </w:r>
            <w:r>
              <w:rPr>
                <w:rStyle w:val="None"/>
                <w:rFonts w:ascii="Arial" w:hAnsi="Arial"/>
                <w:spacing w:val="3"/>
                <w:sz w:val="20"/>
                <w:szCs w:val="20"/>
              </w:rPr>
              <w:t xml:space="preserve"> </w:t>
            </w:r>
            <w:r>
              <w:rPr>
                <w:rStyle w:val="None"/>
                <w:rFonts w:ascii="Arial" w:hAnsi="Arial"/>
                <w:spacing w:val="-3"/>
                <w:sz w:val="20"/>
                <w:szCs w:val="20"/>
              </w:rPr>
              <w:t>upon</w:t>
            </w:r>
          </w:p>
          <w:p w14:paraId="3DB2079F" w14:textId="77777777" w:rsidR="00D760E5" w:rsidRDefault="00000000">
            <w:pPr>
              <w:pStyle w:val="TableParagraph"/>
              <w:spacing w:line="241" w:lineRule="exact"/>
              <w:ind w:left="96"/>
              <w:rPr>
                <w:rStyle w:val="None"/>
                <w:rFonts w:ascii="Arial" w:eastAsia="Arial" w:hAnsi="Arial" w:cs="Arial"/>
                <w:spacing w:val="-1"/>
                <w:sz w:val="20"/>
                <w:szCs w:val="20"/>
              </w:rPr>
            </w:pPr>
            <w:r>
              <w:rPr>
                <w:rStyle w:val="None"/>
                <w:rFonts w:ascii="Arial" w:hAnsi="Arial"/>
                <w:sz w:val="20"/>
                <w:szCs w:val="20"/>
              </w:rPr>
              <w:t>request</w:t>
            </w:r>
            <w:r>
              <w:rPr>
                <w:rStyle w:val="None"/>
                <w:rFonts w:ascii="Arial" w:hAnsi="Arial"/>
                <w:spacing w:val="-10"/>
                <w:sz w:val="20"/>
                <w:szCs w:val="20"/>
              </w:rPr>
              <w:t xml:space="preserve"> </w:t>
            </w:r>
            <w:r>
              <w:rPr>
                <w:rStyle w:val="None"/>
                <w:rFonts w:ascii="Arial" w:hAnsi="Arial"/>
                <w:sz w:val="20"/>
                <w:szCs w:val="20"/>
              </w:rPr>
              <w:t>(to</w:t>
            </w:r>
            <w:r>
              <w:rPr>
                <w:rStyle w:val="None"/>
                <w:rFonts w:ascii="Arial" w:hAnsi="Arial"/>
                <w:spacing w:val="-9"/>
                <w:sz w:val="20"/>
                <w:szCs w:val="20"/>
              </w:rPr>
              <w:t xml:space="preserve"> </w:t>
            </w:r>
            <w:r>
              <w:rPr>
                <w:rStyle w:val="None"/>
                <w:rFonts w:ascii="Arial" w:hAnsi="Arial"/>
                <w:spacing w:val="-1"/>
                <w:sz w:val="20"/>
                <w:szCs w:val="20"/>
              </w:rPr>
              <w:t>Dean’s</w:t>
            </w:r>
          </w:p>
          <w:p w14:paraId="1779E37C" w14:textId="77777777" w:rsidR="00D760E5" w:rsidRDefault="00000000">
            <w:pPr>
              <w:pStyle w:val="TableParagraph"/>
              <w:spacing w:line="245" w:lineRule="exact"/>
              <w:ind w:left="96"/>
            </w:pPr>
            <w:r>
              <w:rPr>
                <w:rStyle w:val="None"/>
                <w:rFonts w:ascii="Arial" w:hAnsi="Arial"/>
                <w:spacing w:val="-1"/>
                <w:sz w:val="20"/>
                <w:szCs w:val="20"/>
              </w:rPr>
              <w:t>Office).</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5" w:type="dxa"/>
              <w:bottom w:w="80" w:type="dxa"/>
              <w:right w:w="80" w:type="dxa"/>
            </w:tcMar>
            <w:vAlign w:val="center"/>
          </w:tcPr>
          <w:p w14:paraId="23AE99D9" w14:textId="77777777" w:rsidR="00D760E5" w:rsidRDefault="00000000">
            <w:pPr>
              <w:pStyle w:val="TableParagraph"/>
              <w:spacing w:line="236" w:lineRule="exact"/>
              <w:ind w:left="95"/>
              <w:rPr>
                <w:rStyle w:val="None"/>
                <w:rFonts w:ascii="Arial" w:eastAsia="Arial" w:hAnsi="Arial" w:cs="Arial"/>
                <w:spacing w:val="-1"/>
                <w:sz w:val="20"/>
                <w:szCs w:val="20"/>
              </w:rPr>
            </w:pPr>
            <w:r>
              <w:rPr>
                <w:rStyle w:val="None"/>
                <w:rFonts w:ascii="Arial" w:hAnsi="Arial"/>
                <w:sz w:val="20"/>
                <w:szCs w:val="20"/>
              </w:rPr>
              <w:t>Academic</w:t>
            </w:r>
            <w:r>
              <w:rPr>
                <w:rStyle w:val="None"/>
                <w:rFonts w:ascii="Arial" w:hAnsi="Arial"/>
                <w:spacing w:val="-14"/>
                <w:sz w:val="20"/>
                <w:szCs w:val="20"/>
              </w:rPr>
              <w:t xml:space="preserve"> </w:t>
            </w:r>
            <w:r>
              <w:rPr>
                <w:rStyle w:val="None"/>
                <w:rFonts w:ascii="Arial" w:hAnsi="Arial"/>
                <w:sz w:val="20"/>
                <w:szCs w:val="20"/>
              </w:rPr>
              <w:t>unit</w:t>
            </w:r>
            <w:r>
              <w:rPr>
                <w:rStyle w:val="None"/>
                <w:rFonts w:ascii="Arial" w:hAnsi="Arial"/>
                <w:spacing w:val="-10"/>
                <w:sz w:val="20"/>
                <w:szCs w:val="20"/>
              </w:rPr>
              <w:t xml:space="preserve"> </w:t>
            </w:r>
            <w:r>
              <w:rPr>
                <w:rStyle w:val="None"/>
                <w:rFonts w:ascii="Arial" w:hAnsi="Arial"/>
                <w:spacing w:val="-1"/>
                <w:sz w:val="20"/>
                <w:szCs w:val="20"/>
              </w:rPr>
              <w:t>heads</w:t>
            </w:r>
          </w:p>
          <w:p w14:paraId="7C468B6E" w14:textId="77777777" w:rsidR="00D760E5" w:rsidRDefault="00000000">
            <w:pPr>
              <w:pStyle w:val="TableParagraph"/>
              <w:spacing w:line="238" w:lineRule="exact"/>
              <w:ind w:left="95"/>
              <w:rPr>
                <w:rStyle w:val="None"/>
                <w:rFonts w:ascii="Arial" w:eastAsia="Arial" w:hAnsi="Arial" w:cs="Arial"/>
                <w:spacing w:val="-9"/>
                <w:sz w:val="20"/>
                <w:szCs w:val="20"/>
              </w:rPr>
            </w:pPr>
            <w:r>
              <w:rPr>
                <w:rStyle w:val="None"/>
                <w:rFonts w:ascii="Arial" w:hAnsi="Arial"/>
                <w:sz w:val="20"/>
                <w:szCs w:val="20"/>
              </w:rPr>
              <w:t>will</w:t>
            </w:r>
            <w:r>
              <w:rPr>
                <w:rStyle w:val="None"/>
                <w:rFonts w:ascii="Arial" w:hAnsi="Arial"/>
                <w:spacing w:val="-15"/>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 xml:space="preserve">with </w:t>
            </w:r>
            <w:r>
              <w:rPr>
                <w:rStyle w:val="None"/>
                <w:rFonts w:ascii="Arial" w:hAnsi="Arial"/>
                <w:sz w:val="20"/>
                <w:szCs w:val="20"/>
              </w:rPr>
              <w:t>candidates</w:t>
            </w:r>
            <w:r>
              <w:rPr>
                <w:rStyle w:val="None"/>
                <w:rFonts w:ascii="Arial" w:hAnsi="Arial"/>
                <w:spacing w:val="-15"/>
                <w:sz w:val="20"/>
                <w:szCs w:val="20"/>
              </w:rPr>
              <w:t xml:space="preserve"> </w:t>
            </w:r>
            <w:r>
              <w:rPr>
                <w:rStyle w:val="None"/>
                <w:rFonts w:ascii="Arial" w:hAnsi="Arial"/>
                <w:spacing w:val="-9"/>
                <w:sz w:val="20"/>
                <w:szCs w:val="20"/>
              </w:rPr>
              <w:t xml:space="preserve">as soon as possible after the review process is completed and before the end of the academic year.  </w:t>
            </w:r>
          </w:p>
          <w:p w14:paraId="6D98A12B" w14:textId="77777777" w:rsidR="00D760E5" w:rsidRDefault="00D760E5">
            <w:pPr>
              <w:pStyle w:val="TableParagraph"/>
              <w:spacing w:line="238" w:lineRule="exact"/>
              <w:ind w:left="95"/>
              <w:rPr>
                <w:rStyle w:val="None"/>
                <w:rFonts w:ascii="Arial" w:eastAsia="Arial" w:hAnsi="Arial" w:cs="Arial"/>
                <w:spacing w:val="-9"/>
                <w:sz w:val="20"/>
                <w:szCs w:val="20"/>
              </w:rPr>
            </w:pPr>
          </w:p>
          <w:p w14:paraId="5979A8AB" w14:textId="77777777" w:rsidR="00D760E5" w:rsidRDefault="00000000">
            <w:pPr>
              <w:pStyle w:val="TableParagraph"/>
              <w:spacing w:line="238" w:lineRule="exact"/>
              <w:ind w:left="95"/>
              <w:rPr>
                <w:rStyle w:val="None"/>
                <w:rFonts w:ascii="Arial" w:eastAsia="Arial" w:hAnsi="Arial" w:cs="Arial"/>
                <w:spacing w:val="-10"/>
                <w:sz w:val="20"/>
                <w:szCs w:val="20"/>
              </w:rPr>
            </w:pPr>
            <w:r>
              <w:rPr>
                <w:rStyle w:val="None"/>
                <w:rFonts w:ascii="Arial" w:hAnsi="Arial"/>
                <w:spacing w:val="-9"/>
                <w:sz w:val="20"/>
                <w:szCs w:val="20"/>
              </w:rPr>
              <w:t xml:space="preserve">Candidates are </w:t>
            </w:r>
          </w:p>
          <w:p w14:paraId="0A89C4A6" w14:textId="77777777" w:rsidR="00D760E5" w:rsidRDefault="00000000">
            <w:pPr>
              <w:pStyle w:val="TableParagraph"/>
              <w:spacing w:line="238" w:lineRule="exact"/>
              <w:ind w:left="95"/>
              <w:rPr>
                <w:rStyle w:val="None"/>
                <w:rFonts w:ascii="Arial" w:eastAsia="Arial" w:hAnsi="Arial" w:cs="Arial"/>
                <w:spacing w:val="-3"/>
                <w:sz w:val="20"/>
                <w:szCs w:val="20"/>
              </w:rPr>
            </w:pPr>
            <w:r>
              <w:rPr>
                <w:rStyle w:val="None"/>
                <w:rFonts w:ascii="Arial" w:hAnsi="Arial"/>
                <w:sz w:val="20"/>
                <w:szCs w:val="20"/>
              </w:rPr>
              <w:t xml:space="preserve">provided </w:t>
            </w:r>
            <w:r>
              <w:rPr>
                <w:rStyle w:val="None"/>
                <w:rFonts w:ascii="Arial" w:hAnsi="Arial"/>
                <w:spacing w:val="-3"/>
                <w:sz w:val="20"/>
                <w:szCs w:val="20"/>
              </w:rPr>
              <w:t>with</w:t>
            </w:r>
          </w:p>
          <w:p w14:paraId="5A7C1CBC" w14:textId="77777777" w:rsidR="00D760E5" w:rsidRDefault="00000000">
            <w:pPr>
              <w:pStyle w:val="TableParagraph"/>
              <w:spacing w:line="264" w:lineRule="exact"/>
              <w:ind w:left="95"/>
              <w:rPr>
                <w:rStyle w:val="None"/>
                <w:rFonts w:ascii="Arial" w:eastAsia="Arial" w:hAnsi="Arial" w:cs="Arial"/>
                <w:spacing w:val="-1"/>
                <w:sz w:val="20"/>
                <w:szCs w:val="20"/>
              </w:rPr>
            </w:pPr>
            <w:r>
              <w:rPr>
                <w:rStyle w:val="None"/>
                <w:rFonts w:ascii="Arial" w:hAnsi="Arial"/>
                <w:spacing w:val="-1"/>
                <w:sz w:val="20"/>
                <w:szCs w:val="20"/>
              </w:rPr>
              <w:t>copies</w:t>
            </w:r>
            <w:r>
              <w:rPr>
                <w:rStyle w:val="None"/>
                <w:rFonts w:ascii="Arial" w:hAnsi="Arial"/>
                <w:spacing w:val="-14"/>
                <w:sz w:val="20"/>
                <w:szCs w:val="20"/>
              </w:rPr>
              <w:t xml:space="preserve"> </w:t>
            </w:r>
            <w:r>
              <w:rPr>
                <w:rStyle w:val="None"/>
                <w:rFonts w:ascii="Arial" w:hAnsi="Arial"/>
                <w:spacing w:val="-1"/>
                <w:sz w:val="20"/>
                <w:szCs w:val="20"/>
              </w:rPr>
              <w:t>of</w:t>
            </w:r>
            <w:r>
              <w:rPr>
                <w:rStyle w:val="None"/>
                <w:rFonts w:ascii="Arial" w:hAnsi="Arial"/>
                <w:spacing w:val="-7"/>
                <w:sz w:val="20"/>
                <w:szCs w:val="20"/>
              </w:rPr>
              <w:t xml:space="preserve"> </w:t>
            </w:r>
            <w:r>
              <w:rPr>
                <w:rStyle w:val="None"/>
                <w:rFonts w:ascii="Arial" w:hAnsi="Arial"/>
                <w:spacing w:val="-1"/>
                <w:sz w:val="20"/>
                <w:szCs w:val="20"/>
              </w:rPr>
              <w:t>all</w:t>
            </w:r>
            <w:r>
              <w:rPr>
                <w:rStyle w:val="None"/>
                <w:rFonts w:ascii="Arial" w:hAnsi="Arial"/>
                <w:spacing w:val="-7"/>
                <w:sz w:val="20"/>
                <w:szCs w:val="20"/>
              </w:rPr>
              <w:t xml:space="preserve"> </w:t>
            </w:r>
            <w:r>
              <w:rPr>
                <w:rStyle w:val="None"/>
                <w:rFonts w:ascii="Arial" w:hAnsi="Arial"/>
                <w:spacing w:val="-1"/>
                <w:sz w:val="20"/>
                <w:szCs w:val="20"/>
              </w:rPr>
              <w:t>committee,</w:t>
            </w:r>
          </w:p>
          <w:p w14:paraId="55734294" w14:textId="77777777" w:rsidR="00D760E5" w:rsidRDefault="00000000">
            <w:pPr>
              <w:pStyle w:val="TableParagraph"/>
              <w:spacing w:line="266" w:lineRule="exact"/>
              <w:ind w:left="95"/>
              <w:rPr>
                <w:rStyle w:val="None"/>
                <w:rFonts w:ascii="Arial" w:eastAsia="Arial" w:hAnsi="Arial" w:cs="Arial"/>
                <w:spacing w:val="-1"/>
                <w:sz w:val="20"/>
                <w:szCs w:val="20"/>
              </w:rPr>
            </w:pPr>
            <w:r>
              <w:rPr>
                <w:rStyle w:val="None"/>
                <w:rFonts w:ascii="Arial" w:hAnsi="Arial"/>
                <w:sz w:val="20"/>
                <w:szCs w:val="20"/>
              </w:rPr>
              <w:t>unit</w:t>
            </w:r>
            <w:r>
              <w:rPr>
                <w:rStyle w:val="None"/>
                <w:rFonts w:ascii="Arial" w:hAnsi="Arial"/>
                <w:spacing w:val="-5"/>
                <w:sz w:val="20"/>
                <w:szCs w:val="20"/>
              </w:rPr>
              <w:t xml:space="preserve"> </w:t>
            </w:r>
            <w:r>
              <w:rPr>
                <w:rStyle w:val="None"/>
                <w:rFonts w:ascii="Arial" w:hAnsi="Arial"/>
                <w:sz w:val="20"/>
                <w:szCs w:val="20"/>
              </w:rPr>
              <w:t>head,</w:t>
            </w:r>
            <w:r>
              <w:rPr>
                <w:rStyle w:val="None"/>
                <w:rFonts w:ascii="Arial" w:hAnsi="Arial"/>
                <w:spacing w:val="-5"/>
                <w:sz w:val="20"/>
                <w:szCs w:val="20"/>
              </w:rPr>
              <w:t xml:space="preserve"> </w:t>
            </w:r>
            <w:r>
              <w:rPr>
                <w:rStyle w:val="None"/>
                <w:rFonts w:ascii="Arial" w:hAnsi="Arial"/>
                <w:sz w:val="20"/>
                <w:szCs w:val="20"/>
              </w:rPr>
              <w:t>and</w:t>
            </w:r>
            <w:r>
              <w:rPr>
                <w:rStyle w:val="None"/>
                <w:rFonts w:ascii="Arial" w:hAnsi="Arial"/>
                <w:spacing w:val="-5"/>
                <w:sz w:val="20"/>
                <w:szCs w:val="20"/>
              </w:rPr>
              <w:t xml:space="preserve"> </w:t>
            </w:r>
            <w:r>
              <w:rPr>
                <w:rStyle w:val="None"/>
                <w:rFonts w:ascii="Arial" w:hAnsi="Arial"/>
                <w:spacing w:val="-1"/>
                <w:sz w:val="20"/>
                <w:szCs w:val="20"/>
              </w:rPr>
              <w:t>dean’s</w:t>
            </w:r>
          </w:p>
          <w:p w14:paraId="6C26226F" w14:textId="77777777" w:rsidR="00D760E5" w:rsidRDefault="00000000">
            <w:pPr>
              <w:pStyle w:val="TableParagraph"/>
              <w:spacing w:line="242" w:lineRule="exact"/>
              <w:ind w:left="95"/>
            </w:pPr>
            <w:r>
              <w:rPr>
                <w:rStyle w:val="None"/>
                <w:rFonts w:ascii="Arial" w:hAnsi="Arial"/>
                <w:spacing w:val="-1"/>
                <w:sz w:val="20"/>
                <w:szCs w:val="20"/>
              </w:rPr>
              <w:t>reports.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76" w:type="dxa"/>
              <w:bottom w:w="80" w:type="dxa"/>
              <w:right w:w="80" w:type="dxa"/>
            </w:tcMar>
            <w:vAlign w:val="center"/>
          </w:tcPr>
          <w:p w14:paraId="058D837D" w14:textId="77777777" w:rsidR="00D760E5" w:rsidRDefault="00000000">
            <w:pPr>
              <w:pStyle w:val="TableParagraph"/>
              <w:spacing w:line="236" w:lineRule="exact"/>
              <w:ind w:left="96"/>
              <w:rPr>
                <w:rStyle w:val="None"/>
                <w:rFonts w:ascii="Arial" w:eastAsia="Arial" w:hAnsi="Arial" w:cs="Arial"/>
                <w:spacing w:val="-1"/>
                <w:sz w:val="20"/>
                <w:szCs w:val="20"/>
              </w:rPr>
            </w:pPr>
            <w:r>
              <w:rPr>
                <w:rStyle w:val="None"/>
                <w:rFonts w:ascii="Arial" w:hAnsi="Arial"/>
                <w:sz w:val="20"/>
                <w:szCs w:val="20"/>
              </w:rPr>
              <w:t>Academic</w:t>
            </w:r>
            <w:r>
              <w:rPr>
                <w:rStyle w:val="None"/>
                <w:rFonts w:ascii="Arial" w:hAnsi="Arial"/>
                <w:spacing w:val="-14"/>
                <w:sz w:val="20"/>
                <w:szCs w:val="20"/>
              </w:rPr>
              <w:t xml:space="preserve"> </w:t>
            </w:r>
            <w:r>
              <w:rPr>
                <w:rStyle w:val="None"/>
                <w:rFonts w:ascii="Arial" w:hAnsi="Arial"/>
                <w:sz w:val="20"/>
                <w:szCs w:val="20"/>
              </w:rPr>
              <w:t>unit</w:t>
            </w:r>
            <w:r>
              <w:rPr>
                <w:rStyle w:val="None"/>
                <w:rFonts w:ascii="Arial" w:hAnsi="Arial"/>
                <w:spacing w:val="-10"/>
                <w:sz w:val="20"/>
                <w:szCs w:val="20"/>
              </w:rPr>
              <w:t xml:space="preserve"> </w:t>
            </w:r>
            <w:r>
              <w:rPr>
                <w:rStyle w:val="None"/>
                <w:rFonts w:ascii="Arial" w:hAnsi="Arial"/>
                <w:spacing w:val="-1"/>
                <w:sz w:val="20"/>
                <w:szCs w:val="20"/>
              </w:rPr>
              <w:t>heads</w:t>
            </w:r>
          </w:p>
          <w:p w14:paraId="163EC3A9"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z w:val="20"/>
                <w:szCs w:val="20"/>
              </w:rPr>
              <w:t>will</w:t>
            </w:r>
            <w:r>
              <w:rPr>
                <w:rStyle w:val="None"/>
                <w:rFonts w:ascii="Arial" w:hAnsi="Arial"/>
                <w:spacing w:val="-15"/>
                <w:sz w:val="20"/>
                <w:szCs w:val="20"/>
              </w:rPr>
              <w:t xml:space="preserve"> </w:t>
            </w:r>
            <w:r>
              <w:rPr>
                <w:rStyle w:val="None"/>
                <w:rFonts w:ascii="Arial" w:hAnsi="Arial"/>
                <w:sz w:val="20"/>
                <w:szCs w:val="20"/>
              </w:rPr>
              <w:t>meet</w:t>
            </w:r>
            <w:r>
              <w:rPr>
                <w:rStyle w:val="None"/>
                <w:rFonts w:ascii="Arial" w:hAnsi="Arial"/>
                <w:spacing w:val="-5"/>
                <w:sz w:val="20"/>
                <w:szCs w:val="20"/>
              </w:rPr>
              <w:t xml:space="preserve"> </w:t>
            </w:r>
            <w:r>
              <w:rPr>
                <w:rStyle w:val="None"/>
                <w:rFonts w:ascii="Arial" w:hAnsi="Arial"/>
                <w:spacing w:val="-3"/>
                <w:sz w:val="20"/>
                <w:szCs w:val="20"/>
              </w:rPr>
              <w:t>with</w:t>
            </w:r>
          </w:p>
          <w:p w14:paraId="518ED96C" w14:textId="77777777" w:rsidR="00D760E5" w:rsidRDefault="00000000">
            <w:pPr>
              <w:pStyle w:val="TableParagraph"/>
              <w:spacing w:line="238" w:lineRule="exact"/>
              <w:ind w:left="95"/>
              <w:rPr>
                <w:rStyle w:val="None"/>
                <w:rFonts w:ascii="Arial" w:eastAsia="Arial" w:hAnsi="Arial" w:cs="Arial"/>
                <w:spacing w:val="-9"/>
                <w:sz w:val="20"/>
                <w:szCs w:val="20"/>
              </w:rPr>
            </w:pPr>
            <w:r>
              <w:rPr>
                <w:rStyle w:val="None"/>
                <w:rFonts w:ascii="Arial" w:hAnsi="Arial"/>
                <w:sz w:val="20"/>
                <w:szCs w:val="20"/>
              </w:rPr>
              <w:t>candidates</w:t>
            </w:r>
            <w:r>
              <w:rPr>
                <w:rStyle w:val="None"/>
                <w:rFonts w:ascii="Arial" w:hAnsi="Arial"/>
                <w:spacing w:val="-15"/>
                <w:sz w:val="20"/>
                <w:szCs w:val="20"/>
              </w:rPr>
              <w:t xml:space="preserve"> </w:t>
            </w:r>
            <w:r>
              <w:rPr>
                <w:rStyle w:val="None"/>
                <w:rFonts w:ascii="Arial" w:hAnsi="Arial"/>
                <w:spacing w:val="-9"/>
                <w:sz w:val="20"/>
                <w:szCs w:val="20"/>
              </w:rPr>
              <w:t xml:space="preserve">as soon as possible after the review process is completed and before the end of the academic year.  </w:t>
            </w:r>
          </w:p>
          <w:p w14:paraId="2946DB82" w14:textId="77777777" w:rsidR="00D760E5" w:rsidRDefault="00D760E5">
            <w:pPr>
              <w:pStyle w:val="TableParagraph"/>
              <w:spacing w:line="238" w:lineRule="exact"/>
              <w:ind w:left="95"/>
              <w:rPr>
                <w:rStyle w:val="None"/>
                <w:rFonts w:ascii="Arial" w:eastAsia="Arial" w:hAnsi="Arial" w:cs="Arial"/>
                <w:spacing w:val="-9"/>
                <w:sz w:val="20"/>
                <w:szCs w:val="20"/>
              </w:rPr>
            </w:pPr>
          </w:p>
          <w:p w14:paraId="439CE586" w14:textId="77777777" w:rsidR="00D760E5" w:rsidRDefault="00000000">
            <w:pPr>
              <w:pStyle w:val="TableParagraph"/>
              <w:spacing w:line="238" w:lineRule="exact"/>
              <w:ind w:left="96"/>
              <w:rPr>
                <w:rStyle w:val="None"/>
                <w:rFonts w:ascii="Arial" w:eastAsia="Arial" w:hAnsi="Arial" w:cs="Arial"/>
                <w:spacing w:val="-10"/>
                <w:sz w:val="20"/>
                <w:szCs w:val="20"/>
              </w:rPr>
            </w:pPr>
            <w:r>
              <w:rPr>
                <w:rStyle w:val="None"/>
                <w:rFonts w:ascii="Arial" w:hAnsi="Arial"/>
                <w:spacing w:val="-9"/>
                <w:sz w:val="20"/>
                <w:szCs w:val="20"/>
              </w:rPr>
              <w:t xml:space="preserve">Candidates are </w:t>
            </w:r>
          </w:p>
          <w:p w14:paraId="651A817F" w14:textId="77777777" w:rsidR="00D760E5" w:rsidRDefault="00000000">
            <w:pPr>
              <w:pStyle w:val="TableParagraph"/>
              <w:spacing w:line="238" w:lineRule="exact"/>
              <w:ind w:left="96"/>
              <w:rPr>
                <w:rStyle w:val="None"/>
                <w:rFonts w:ascii="Arial" w:eastAsia="Arial" w:hAnsi="Arial" w:cs="Arial"/>
                <w:spacing w:val="-3"/>
                <w:sz w:val="20"/>
                <w:szCs w:val="20"/>
              </w:rPr>
            </w:pPr>
            <w:r>
              <w:rPr>
                <w:rStyle w:val="None"/>
                <w:rFonts w:ascii="Arial" w:hAnsi="Arial"/>
                <w:sz w:val="20"/>
                <w:szCs w:val="20"/>
              </w:rPr>
              <w:t>provided</w:t>
            </w:r>
            <w:r>
              <w:rPr>
                <w:rStyle w:val="None"/>
                <w:rFonts w:ascii="Arial" w:hAnsi="Arial"/>
                <w:spacing w:val="-5"/>
                <w:sz w:val="20"/>
                <w:szCs w:val="20"/>
              </w:rPr>
              <w:t xml:space="preserve"> </w:t>
            </w:r>
            <w:r>
              <w:rPr>
                <w:rStyle w:val="None"/>
                <w:rFonts w:ascii="Arial" w:hAnsi="Arial"/>
                <w:spacing w:val="-3"/>
                <w:sz w:val="20"/>
                <w:szCs w:val="20"/>
              </w:rPr>
              <w:t>with</w:t>
            </w:r>
          </w:p>
          <w:p w14:paraId="7D9510AD" w14:textId="77777777" w:rsidR="00D760E5" w:rsidRDefault="00000000">
            <w:pPr>
              <w:pStyle w:val="TableParagraph"/>
              <w:spacing w:line="264" w:lineRule="exact"/>
              <w:ind w:left="96"/>
              <w:rPr>
                <w:rStyle w:val="None"/>
                <w:rFonts w:ascii="Arial" w:eastAsia="Arial" w:hAnsi="Arial" w:cs="Arial"/>
                <w:spacing w:val="-1"/>
                <w:sz w:val="20"/>
                <w:szCs w:val="20"/>
              </w:rPr>
            </w:pPr>
            <w:r>
              <w:rPr>
                <w:rStyle w:val="None"/>
                <w:rFonts w:ascii="Arial" w:hAnsi="Arial"/>
                <w:spacing w:val="-1"/>
                <w:sz w:val="20"/>
                <w:szCs w:val="20"/>
              </w:rPr>
              <w:t>copies</w:t>
            </w:r>
            <w:r>
              <w:rPr>
                <w:rStyle w:val="None"/>
                <w:rFonts w:ascii="Arial" w:hAnsi="Arial"/>
                <w:spacing w:val="-14"/>
                <w:sz w:val="20"/>
                <w:szCs w:val="20"/>
              </w:rPr>
              <w:t xml:space="preserve"> </w:t>
            </w:r>
            <w:r>
              <w:rPr>
                <w:rStyle w:val="None"/>
                <w:rFonts w:ascii="Arial" w:hAnsi="Arial"/>
                <w:spacing w:val="-1"/>
                <w:sz w:val="20"/>
                <w:szCs w:val="20"/>
              </w:rPr>
              <w:t>of</w:t>
            </w:r>
            <w:r>
              <w:rPr>
                <w:rStyle w:val="None"/>
                <w:rFonts w:ascii="Arial" w:hAnsi="Arial"/>
                <w:spacing w:val="-7"/>
                <w:sz w:val="20"/>
                <w:szCs w:val="20"/>
              </w:rPr>
              <w:t xml:space="preserve"> </w:t>
            </w:r>
            <w:r>
              <w:rPr>
                <w:rStyle w:val="None"/>
                <w:rFonts w:ascii="Arial" w:hAnsi="Arial"/>
                <w:spacing w:val="-1"/>
                <w:sz w:val="20"/>
                <w:szCs w:val="20"/>
              </w:rPr>
              <w:t>all</w:t>
            </w:r>
            <w:r>
              <w:rPr>
                <w:rStyle w:val="None"/>
                <w:rFonts w:ascii="Arial" w:hAnsi="Arial"/>
                <w:spacing w:val="-7"/>
                <w:sz w:val="20"/>
                <w:szCs w:val="20"/>
              </w:rPr>
              <w:t xml:space="preserve"> </w:t>
            </w:r>
            <w:r>
              <w:rPr>
                <w:rStyle w:val="None"/>
                <w:rFonts w:ascii="Arial" w:hAnsi="Arial"/>
                <w:spacing w:val="-1"/>
                <w:sz w:val="20"/>
                <w:szCs w:val="20"/>
              </w:rPr>
              <w:t>committee,</w:t>
            </w:r>
          </w:p>
          <w:p w14:paraId="6BD98012" w14:textId="77777777" w:rsidR="00D760E5" w:rsidRDefault="00000000">
            <w:pPr>
              <w:pStyle w:val="TableParagraph"/>
              <w:spacing w:line="266" w:lineRule="exact"/>
              <w:ind w:left="96"/>
              <w:rPr>
                <w:rStyle w:val="None"/>
                <w:rFonts w:ascii="Arial" w:eastAsia="Arial" w:hAnsi="Arial" w:cs="Arial"/>
                <w:spacing w:val="-1"/>
                <w:sz w:val="20"/>
                <w:szCs w:val="20"/>
              </w:rPr>
            </w:pPr>
            <w:r>
              <w:rPr>
                <w:rStyle w:val="None"/>
                <w:rFonts w:ascii="Arial" w:hAnsi="Arial"/>
                <w:sz w:val="20"/>
                <w:szCs w:val="20"/>
              </w:rPr>
              <w:t>unit</w:t>
            </w:r>
            <w:r>
              <w:rPr>
                <w:rStyle w:val="None"/>
                <w:rFonts w:ascii="Arial" w:hAnsi="Arial"/>
                <w:spacing w:val="-5"/>
                <w:sz w:val="20"/>
                <w:szCs w:val="20"/>
              </w:rPr>
              <w:t xml:space="preserve"> </w:t>
            </w:r>
            <w:r>
              <w:rPr>
                <w:rStyle w:val="None"/>
                <w:rFonts w:ascii="Arial" w:hAnsi="Arial"/>
                <w:sz w:val="20"/>
                <w:szCs w:val="20"/>
              </w:rPr>
              <w:t>head,</w:t>
            </w:r>
            <w:r>
              <w:rPr>
                <w:rStyle w:val="None"/>
                <w:rFonts w:ascii="Arial" w:hAnsi="Arial"/>
                <w:spacing w:val="-5"/>
                <w:sz w:val="20"/>
                <w:szCs w:val="20"/>
              </w:rPr>
              <w:t xml:space="preserve"> </w:t>
            </w:r>
            <w:r>
              <w:rPr>
                <w:rStyle w:val="None"/>
                <w:rFonts w:ascii="Arial" w:hAnsi="Arial"/>
                <w:sz w:val="20"/>
                <w:szCs w:val="20"/>
              </w:rPr>
              <w:t>and</w:t>
            </w:r>
            <w:r>
              <w:rPr>
                <w:rStyle w:val="None"/>
                <w:rFonts w:ascii="Arial" w:hAnsi="Arial"/>
                <w:spacing w:val="-5"/>
                <w:sz w:val="20"/>
                <w:szCs w:val="20"/>
              </w:rPr>
              <w:t xml:space="preserve"> </w:t>
            </w:r>
            <w:r>
              <w:rPr>
                <w:rStyle w:val="None"/>
                <w:rFonts w:ascii="Arial" w:hAnsi="Arial"/>
                <w:spacing w:val="-1"/>
                <w:sz w:val="20"/>
                <w:szCs w:val="20"/>
              </w:rPr>
              <w:t>dean’s</w:t>
            </w:r>
          </w:p>
          <w:p w14:paraId="0330DC73" w14:textId="77777777" w:rsidR="00D760E5" w:rsidRDefault="00000000">
            <w:pPr>
              <w:pStyle w:val="TableParagraph"/>
              <w:spacing w:line="242" w:lineRule="exact"/>
              <w:ind w:left="96"/>
            </w:pPr>
            <w:r>
              <w:rPr>
                <w:rStyle w:val="None"/>
                <w:rFonts w:ascii="Arial" w:hAnsi="Arial"/>
                <w:spacing w:val="-1"/>
                <w:sz w:val="20"/>
                <w:szCs w:val="20"/>
              </w:rPr>
              <w:t>reports.</w:t>
            </w:r>
          </w:p>
        </w:tc>
      </w:tr>
    </w:tbl>
    <w:p w14:paraId="5997CC1D" w14:textId="77777777" w:rsidR="00D760E5" w:rsidRDefault="00D760E5">
      <w:pPr>
        <w:pStyle w:val="BodyText"/>
        <w:ind w:left="141" w:hanging="141"/>
        <w:rPr>
          <w:rStyle w:val="None"/>
          <w:rFonts w:ascii="Calibri" w:eastAsia="Calibri" w:hAnsi="Calibri" w:cs="Calibri"/>
          <w:b/>
          <w:bCs/>
          <w:sz w:val="14"/>
          <w:szCs w:val="14"/>
        </w:rPr>
      </w:pPr>
    </w:p>
    <w:p w14:paraId="7EBDA430" w14:textId="77777777" w:rsidR="00D760E5" w:rsidRDefault="00000000">
      <w:pPr>
        <w:pStyle w:val="BodyText"/>
        <w:spacing w:before="100" w:after="40"/>
        <w:ind w:left="360" w:right="29" w:hanging="187"/>
        <w:rPr>
          <w:rStyle w:val="None"/>
          <w:sz w:val="18"/>
          <w:szCs w:val="18"/>
        </w:rPr>
      </w:pPr>
      <w:r>
        <w:rPr>
          <w:rStyle w:val="None"/>
          <w:sz w:val="18"/>
          <w:szCs w:val="18"/>
        </w:rPr>
        <w:t>*</w:t>
      </w:r>
      <w:r>
        <w:rPr>
          <w:rStyle w:val="None"/>
          <w:spacing w:val="-10"/>
          <w:sz w:val="18"/>
          <w:szCs w:val="18"/>
        </w:rPr>
        <w:t xml:space="preserve"> </w:t>
      </w:r>
      <w:r>
        <w:rPr>
          <w:rStyle w:val="None"/>
          <w:sz w:val="18"/>
          <w:szCs w:val="18"/>
        </w:rPr>
        <w:t>Dossiers</w:t>
      </w:r>
      <w:r>
        <w:rPr>
          <w:rStyle w:val="None"/>
          <w:spacing w:val="-11"/>
          <w:sz w:val="18"/>
          <w:szCs w:val="18"/>
        </w:rPr>
        <w:t xml:space="preserve"> </w:t>
      </w:r>
      <w:r>
        <w:rPr>
          <w:rStyle w:val="None"/>
          <w:sz w:val="18"/>
          <w:szCs w:val="18"/>
        </w:rPr>
        <w:t>with</w:t>
      </w:r>
      <w:r>
        <w:rPr>
          <w:rStyle w:val="None"/>
          <w:spacing w:val="-10"/>
          <w:sz w:val="18"/>
          <w:szCs w:val="18"/>
        </w:rPr>
        <w:t xml:space="preserve"> </w:t>
      </w:r>
      <w:r>
        <w:rPr>
          <w:rStyle w:val="None"/>
          <w:sz w:val="18"/>
          <w:szCs w:val="18"/>
        </w:rPr>
        <w:t>positive</w:t>
      </w:r>
      <w:r>
        <w:rPr>
          <w:rStyle w:val="None"/>
          <w:spacing w:val="-8"/>
          <w:sz w:val="18"/>
          <w:szCs w:val="18"/>
        </w:rPr>
        <w:t xml:space="preserve"> </w:t>
      </w:r>
      <w:r>
        <w:rPr>
          <w:rStyle w:val="None"/>
          <w:sz w:val="18"/>
          <w:szCs w:val="18"/>
        </w:rPr>
        <w:t>recommendations</w:t>
      </w:r>
      <w:r>
        <w:rPr>
          <w:rStyle w:val="None"/>
          <w:spacing w:val="-11"/>
          <w:sz w:val="18"/>
          <w:szCs w:val="18"/>
        </w:rPr>
        <w:t xml:space="preserve"> </w:t>
      </w:r>
      <w:r>
        <w:rPr>
          <w:rStyle w:val="None"/>
          <w:sz w:val="18"/>
          <w:szCs w:val="18"/>
        </w:rPr>
        <w:t>by</w:t>
      </w:r>
      <w:r>
        <w:rPr>
          <w:rStyle w:val="None"/>
          <w:spacing w:val="-7"/>
          <w:sz w:val="18"/>
          <w:szCs w:val="18"/>
        </w:rPr>
        <w:t xml:space="preserve"> </w:t>
      </w:r>
      <w:r>
        <w:rPr>
          <w:rStyle w:val="None"/>
          <w:sz w:val="18"/>
          <w:szCs w:val="18"/>
        </w:rPr>
        <w:t>the</w:t>
      </w:r>
      <w:r>
        <w:rPr>
          <w:rStyle w:val="None"/>
          <w:spacing w:val="-7"/>
          <w:sz w:val="18"/>
          <w:szCs w:val="18"/>
        </w:rPr>
        <w:t xml:space="preserve"> </w:t>
      </w:r>
      <w:r>
        <w:rPr>
          <w:rStyle w:val="None"/>
          <w:sz w:val="18"/>
          <w:szCs w:val="18"/>
        </w:rPr>
        <w:t>dean</w:t>
      </w:r>
      <w:r>
        <w:rPr>
          <w:rStyle w:val="None"/>
          <w:spacing w:val="-13"/>
          <w:sz w:val="18"/>
          <w:szCs w:val="18"/>
        </w:rPr>
        <w:t xml:space="preserve"> </w:t>
      </w:r>
      <w:r>
        <w:rPr>
          <w:rStyle w:val="None"/>
          <w:sz w:val="18"/>
          <w:szCs w:val="18"/>
        </w:rPr>
        <w:t>and/or</w:t>
      </w:r>
      <w:r>
        <w:rPr>
          <w:rStyle w:val="None"/>
          <w:spacing w:val="-13"/>
          <w:sz w:val="18"/>
          <w:szCs w:val="18"/>
        </w:rPr>
        <w:t xml:space="preserve"> </w:t>
      </w:r>
      <w:r>
        <w:rPr>
          <w:rStyle w:val="None"/>
          <w:sz w:val="18"/>
          <w:szCs w:val="18"/>
        </w:rPr>
        <w:t>the</w:t>
      </w:r>
      <w:r>
        <w:rPr>
          <w:rStyle w:val="None"/>
          <w:spacing w:val="-6"/>
          <w:sz w:val="18"/>
          <w:szCs w:val="18"/>
        </w:rPr>
        <w:t xml:space="preserve"> </w:t>
      </w:r>
      <w:r>
        <w:rPr>
          <w:rStyle w:val="None"/>
          <w:sz w:val="18"/>
          <w:szCs w:val="18"/>
        </w:rPr>
        <w:t>college</w:t>
      </w:r>
      <w:r>
        <w:rPr>
          <w:rStyle w:val="None"/>
          <w:spacing w:val="-8"/>
          <w:sz w:val="18"/>
          <w:szCs w:val="18"/>
        </w:rPr>
        <w:t xml:space="preserve"> </w:t>
      </w:r>
      <w:r>
        <w:rPr>
          <w:rStyle w:val="None"/>
          <w:sz w:val="18"/>
          <w:szCs w:val="18"/>
        </w:rPr>
        <w:t>promotion</w:t>
      </w:r>
      <w:r>
        <w:rPr>
          <w:rStyle w:val="None"/>
          <w:spacing w:val="-10"/>
          <w:sz w:val="18"/>
          <w:szCs w:val="18"/>
        </w:rPr>
        <w:t xml:space="preserve"> </w:t>
      </w:r>
      <w:r>
        <w:rPr>
          <w:rStyle w:val="None"/>
          <w:sz w:val="18"/>
          <w:szCs w:val="18"/>
        </w:rPr>
        <w:t xml:space="preserve">and tenure committee are forwarded to </w:t>
      </w:r>
      <w:r>
        <w:rPr>
          <w:rStyle w:val="None"/>
          <w:sz w:val="18"/>
          <w:szCs w:val="18"/>
        </w:rPr>
        <w:lastRenderedPageBreak/>
        <w:t>University Promotion and Tenure Committee; candidates not moving forward are notified by this date.</w:t>
      </w:r>
    </w:p>
    <w:p w14:paraId="696C757D" w14:textId="77777777" w:rsidR="00D760E5" w:rsidRDefault="00000000">
      <w:pPr>
        <w:pStyle w:val="BodyText"/>
        <w:spacing w:before="55" w:after="40"/>
        <w:ind w:left="180"/>
        <w:rPr>
          <w:rStyle w:val="None"/>
          <w:spacing w:val="-2"/>
          <w:sz w:val="18"/>
          <w:szCs w:val="18"/>
        </w:rPr>
      </w:pPr>
      <w:r>
        <w:rPr>
          <w:rStyle w:val="None"/>
          <w:sz w:val="18"/>
          <w:szCs w:val="18"/>
        </w:rPr>
        <w:t>^ Notification</w:t>
      </w:r>
      <w:r>
        <w:rPr>
          <w:rStyle w:val="None"/>
          <w:spacing w:val="-15"/>
          <w:sz w:val="18"/>
          <w:szCs w:val="18"/>
        </w:rPr>
        <w:t xml:space="preserve"> </w:t>
      </w:r>
      <w:r>
        <w:rPr>
          <w:rStyle w:val="None"/>
          <w:sz w:val="18"/>
          <w:szCs w:val="18"/>
        </w:rPr>
        <w:t>is</w:t>
      </w:r>
      <w:r>
        <w:rPr>
          <w:rStyle w:val="None"/>
          <w:spacing w:val="-12"/>
          <w:sz w:val="18"/>
          <w:szCs w:val="18"/>
        </w:rPr>
        <w:t xml:space="preserve"> </w:t>
      </w:r>
      <w:r>
        <w:rPr>
          <w:rStyle w:val="None"/>
          <w:sz w:val="18"/>
          <w:szCs w:val="18"/>
        </w:rPr>
        <w:t>in</w:t>
      </w:r>
      <w:r>
        <w:rPr>
          <w:rStyle w:val="None"/>
          <w:spacing w:val="-13"/>
          <w:sz w:val="18"/>
          <w:szCs w:val="18"/>
        </w:rPr>
        <w:t xml:space="preserve"> </w:t>
      </w:r>
      <w:r>
        <w:rPr>
          <w:rStyle w:val="None"/>
          <w:sz w:val="18"/>
          <w:szCs w:val="18"/>
        </w:rPr>
        <w:t>the</w:t>
      </w:r>
      <w:r>
        <w:rPr>
          <w:rStyle w:val="None"/>
          <w:spacing w:val="-12"/>
          <w:sz w:val="18"/>
          <w:szCs w:val="18"/>
        </w:rPr>
        <w:t xml:space="preserve"> </w:t>
      </w:r>
      <w:r>
        <w:rPr>
          <w:rStyle w:val="None"/>
          <w:sz w:val="18"/>
          <w:szCs w:val="18"/>
        </w:rPr>
        <w:t>form</w:t>
      </w:r>
      <w:r>
        <w:rPr>
          <w:rStyle w:val="None"/>
          <w:spacing w:val="-13"/>
          <w:sz w:val="18"/>
          <w:szCs w:val="18"/>
        </w:rPr>
        <w:t xml:space="preserve"> </w:t>
      </w:r>
      <w:r>
        <w:rPr>
          <w:rStyle w:val="None"/>
          <w:sz w:val="18"/>
          <w:szCs w:val="18"/>
        </w:rPr>
        <w:t>of</w:t>
      </w:r>
      <w:r>
        <w:rPr>
          <w:rStyle w:val="None"/>
          <w:spacing w:val="-11"/>
          <w:sz w:val="18"/>
          <w:szCs w:val="18"/>
        </w:rPr>
        <w:t xml:space="preserve"> </w:t>
      </w:r>
      <w:r>
        <w:rPr>
          <w:rStyle w:val="None"/>
          <w:sz w:val="18"/>
          <w:szCs w:val="18"/>
        </w:rPr>
        <w:t>a</w:t>
      </w:r>
      <w:r>
        <w:rPr>
          <w:rStyle w:val="None"/>
          <w:spacing w:val="-12"/>
          <w:sz w:val="18"/>
          <w:szCs w:val="18"/>
        </w:rPr>
        <w:t xml:space="preserve"> </w:t>
      </w:r>
      <w:r>
        <w:rPr>
          <w:rStyle w:val="None"/>
          <w:sz w:val="18"/>
          <w:szCs w:val="18"/>
        </w:rPr>
        <w:t>letter</w:t>
      </w:r>
      <w:r>
        <w:rPr>
          <w:rStyle w:val="None"/>
          <w:spacing w:val="-12"/>
          <w:sz w:val="18"/>
          <w:szCs w:val="18"/>
        </w:rPr>
        <w:t xml:space="preserve"> </w:t>
      </w:r>
      <w:r>
        <w:rPr>
          <w:rStyle w:val="None"/>
          <w:sz w:val="18"/>
          <w:szCs w:val="18"/>
        </w:rPr>
        <w:t>from</w:t>
      </w:r>
      <w:r>
        <w:rPr>
          <w:rStyle w:val="None"/>
          <w:spacing w:val="-11"/>
          <w:sz w:val="18"/>
          <w:szCs w:val="18"/>
        </w:rPr>
        <w:t xml:space="preserve"> </w:t>
      </w:r>
      <w:r>
        <w:rPr>
          <w:rStyle w:val="None"/>
          <w:sz w:val="18"/>
          <w:szCs w:val="18"/>
        </w:rPr>
        <w:t>the</w:t>
      </w:r>
      <w:r>
        <w:rPr>
          <w:rStyle w:val="None"/>
          <w:spacing w:val="-12"/>
          <w:sz w:val="18"/>
          <w:szCs w:val="18"/>
        </w:rPr>
        <w:t xml:space="preserve"> </w:t>
      </w:r>
      <w:r>
        <w:rPr>
          <w:rStyle w:val="None"/>
          <w:sz w:val="18"/>
          <w:szCs w:val="18"/>
        </w:rPr>
        <w:t>University</w:t>
      </w:r>
      <w:r>
        <w:rPr>
          <w:rStyle w:val="None"/>
          <w:spacing w:val="-9"/>
          <w:sz w:val="18"/>
          <w:szCs w:val="18"/>
        </w:rPr>
        <w:t xml:space="preserve"> </w:t>
      </w:r>
      <w:r>
        <w:rPr>
          <w:rStyle w:val="None"/>
          <w:spacing w:val="-2"/>
          <w:sz w:val="18"/>
          <w:szCs w:val="18"/>
        </w:rPr>
        <w:t>President.</w:t>
      </w:r>
    </w:p>
    <w:p w14:paraId="30AE5FBC" w14:textId="77777777" w:rsidR="00D760E5" w:rsidRDefault="00000000">
      <w:pPr>
        <w:pStyle w:val="BodyText"/>
        <w:spacing w:before="94" w:line="223" w:lineRule="auto"/>
        <w:ind w:left="360" w:hanging="173"/>
        <w:rPr>
          <w:rStyle w:val="None"/>
          <w:sz w:val="18"/>
          <w:szCs w:val="18"/>
        </w:rPr>
      </w:pPr>
      <w:r>
        <w:rPr>
          <w:rStyle w:val="None"/>
          <w:sz w:val="18"/>
          <w:szCs w:val="18"/>
        </w:rPr>
        <w:t># Notification is in the form of a memo from the dean.</w:t>
      </w:r>
      <w:r>
        <w:rPr>
          <w:rStyle w:val="None"/>
          <w:spacing w:val="40"/>
          <w:sz w:val="18"/>
          <w:szCs w:val="18"/>
        </w:rPr>
        <w:t xml:space="preserve"> </w:t>
      </w:r>
      <w:r>
        <w:rPr>
          <w:rStyle w:val="None"/>
          <w:sz w:val="18"/>
          <w:szCs w:val="18"/>
        </w:rPr>
        <w:t>Names of any candidates whose appointments</w:t>
      </w:r>
      <w:r>
        <w:rPr>
          <w:rStyle w:val="None"/>
          <w:spacing w:val="-13"/>
          <w:sz w:val="18"/>
          <w:szCs w:val="18"/>
        </w:rPr>
        <w:t xml:space="preserve"> </w:t>
      </w:r>
      <w:r>
        <w:rPr>
          <w:rStyle w:val="None"/>
          <w:sz w:val="18"/>
          <w:szCs w:val="18"/>
        </w:rPr>
        <w:t>will</w:t>
      </w:r>
      <w:r>
        <w:rPr>
          <w:rStyle w:val="None"/>
          <w:spacing w:val="-12"/>
          <w:sz w:val="18"/>
          <w:szCs w:val="18"/>
        </w:rPr>
        <w:t xml:space="preserve"> </w:t>
      </w:r>
      <w:r>
        <w:rPr>
          <w:rStyle w:val="None"/>
          <w:sz w:val="18"/>
          <w:szCs w:val="18"/>
        </w:rPr>
        <w:t>not</w:t>
      </w:r>
      <w:r>
        <w:rPr>
          <w:rStyle w:val="None"/>
          <w:spacing w:val="-9"/>
          <w:sz w:val="18"/>
          <w:szCs w:val="18"/>
        </w:rPr>
        <w:t xml:space="preserve"> </w:t>
      </w:r>
      <w:r>
        <w:rPr>
          <w:rStyle w:val="None"/>
          <w:sz w:val="18"/>
          <w:szCs w:val="18"/>
        </w:rPr>
        <w:t>be</w:t>
      </w:r>
      <w:r>
        <w:rPr>
          <w:rStyle w:val="None"/>
          <w:spacing w:val="-11"/>
          <w:sz w:val="18"/>
          <w:szCs w:val="18"/>
        </w:rPr>
        <w:t xml:space="preserve"> </w:t>
      </w:r>
      <w:r>
        <w:rPr>
          <w:rStyle w:val="None"/>
          <w:sz w:val="18"/>
          <w:szCs w:val="18"/>
        </w:rPr>
        <w:t>continuing</w:t>
      </w:r>
      <w:r>
        <w:rPr>
          <w:rStyle w:val="None"/>
          <w:spacing w:val="-10"/>
          <w:sz w:val="18"/>
          <w:szCs w:val="18"/>
        </w:rPr>
        <w:t xml:space="preserve"> </w:t>
      </w:r>
      <w:r>
        <w:rPr>
          <w:rStyle w:val="None"/>
          <w:sz w:val="18"/>
          <w:szCs w:val="18"/>
        </w:rPr>
        <w:t>are</w:t>
      </w:r>
      <w:r>
        <w:rPr>
          <w:rStyle w:val="None"/>
          <w:spacing w:val="-11"/>
          <w:sz w:val="18"/>
          <w:szCs w:val="18"/>
        </w:rPr>
        <w:t xml:space="preserve"> </w:t>
      </w:r>
      <w:r>
        <w:rPr>
          <w:rStyle w:val="None"/>
          <w:sz w:val="18"/>
          <w:szCs w:val="18"/>
        </w:rPr>
        <w:t>also</w:t>
      </w:r>
      <w:r>
        <w:rPr>
          <w:rStyle w:val="None"/>
          <w:spacing w:val="-8"/>
          <w:sz w:val="18"/>
          <w:szCs w:val="18"/>
        </w:rPr>
        <w:t xml:space="preserve"> </w:t>
      </w:r>
      <w:r>
        <w:rPr>
          <w:rStyle w:val="None"/>
          <w:sz w:val="18"/>
          <w:szCs w:val="18"/>
        </w:rPr>
        <w:t>forwarded</w:t>
      </w:r>
      <w:r>
        <w:rPr>
          <w:rStyle w:val="None"/>
          <w:spacing w:val="-10"/>
          <w:sz w:val="18"/>
          <w:szCs w:val="18"/>
        </w:rPr>
        <w:t xml:space="preserve"> </w:t>
      </w:r>
      <w:r>
        <w:rPr>
          <w:rStyle w:val="None"/>
          <w:sz w:val="18"/>
          <w:szCs w:val="18"/>
        </w:rPr>
        <w:t>to</w:t>
      </w:r>
      <w:r>
        <w:rPr>
          <w:rStyle w:val="None"/>
          <w:spacing w:val="-8"/>
          <w:sz w:val="18"/>
          <w:szCs w:val="18"/>
        </w:rPr>
        <w:t xml:space="preserve"> </w:t>
      </w:r>
      <w:r>
        <w:rPr>
          <w:rStyle w:val="None"/>
          <w:sz w:val="18"/>
          <w:szCs w:val="18"/>
        </w:rPr>
        <w:t>the</w:t>
      </w:r>
      <w:r>
        <w:rPr>
          <w:rStyle w:val="None"/>
          <w:spacing w:val="-13"/>
          <w:sz w:val="18"/>
          <w:szCs w:val="18"/>
        </w:rPr>
        <w:t xml:space="preserve"> </w:t>
      </w:r>
      <w:r>
        <w:rPr>
          <w:rStyle w:val="None"/>
          <w:sz w:val="18"/>
          <w:szCs w:val="18"/>
        </w:rPr>
        <w:t>Provost’s</w:t>
      </w:r>
      <w:r>
        <w:rPr>
          <w:rStyle w:val="None"/>
          <w:spacing w:val="-12"/>
          <w:sz w:val="18"/>
          <w:szCs w:val="18"/>
        </w:rPr>
        <w:t xml:space="preserve"> </w:t>
      </w:r>
      <w:r>
        <w:rPr>
          <w:rStyle w:val="None"/>
          <w:sz w:val="18"/>
          <w:szCs w:val="18"/>
        </w:rPr>
        <w:t>Office</w:t>
      </w:r>
      <w:r>
        <w:rPr>
          <w:rStyle w:val="None"/>
          <w:spacing w:val="-6"/>
          <w:sz w:val="18"/>
          <w:szCs w:val="18"/>
        </w:rPr>
        <w:t xml:space="preserve"> </w:t>
      </w:r>
      <w:r>
        <w:rPr>
          <w:rStyle w:val="None"/>
          <w:sz w:val="18"/>
          <w:szCs w:val="18"/>
        </w:rPr>
        <w:t>by</w:t>
      </w:r>
      <w:r>
        <w:rPr>
          <w:rStyle w:val="None"/>
          <w:spacing w:val="-7"/>
          <w:sz w:val="18"/>
          <w:szCs w:val="18"/>
        </w:rPr>
        <w:t xml:space="preserve"> </w:t>
      </w:r>
      <w:r>
        <w:rPr>
          <w:rStyle w:val="None"/>
          <w:sz w:val="18"/>
          <w:szCs w:val="18"/>
        </w:rPr>
        <w:t>this</w:t>
      </w:r>
      <w:r>
        <w:rPr>
          <w:rStyle w:val="None"/>
          <w:spacing w:val="-11"/>
          <w:sz w:val="18"/>
          <w:szCs w:val="18"/>
        </w:rPr>
        <w:t xml:space="preserve"> </w:t>
      </w:r>
      <w:r>
        <w:rPr>
          <w:rStyle w:val="None"/>
          <w:sz w:val="18"/>
          <w:szCs w:val="18"/>
        </w:rPr>
        <w:t>date.</w:t>
      </w:r>
    </w:p>
    <w:p w14:paraId="110FFD37" w14:textId="77777777" w:rsidR="00D760E5" w:rsidRDefault="00D760E5">
      <w:pPr>
        <w:pStyle w:val="BodyText"/>
        <w:spacing w:before="2"/>
        <w:rPr>
          <w:rStyle w:val="None"/>
          <w:rFonts w:ascii="Calibri" w:eastAsia="Calibri" w:hAnsi="Calibri" w:cs="Calibri"/>
          <w:sz w:val="22"/>
          <w:szCs w:val="22"/>
        </w:rPr>
      </w:pPr>
    </w:p>
    <w:p w14:paraId="6B699379" w14:textId="77777777" w:rsidR="00D760E5" w:rsidRDefault="00D760E5">
      <w:pPr>
        <w:pStyle w:val="BodyText"/>
        <w:tabs>
          <w:tab w:val="left" w:pos="1080"/>
        </w:tabs>
        <w:spacing w:line="254" w:lineRule="auto"/>
        <w:ind w:left="1080" w:right="608" w:hanging="1080"/>
        <w:jc w:val="both"/>
        <w:rPr>
          <w:rStyle w:val="None"/>
          <w:position w:val="2"/>
          <w:sz w:val="22"/>
          <w:szCs w:val="22"/>
        </w:rPr>
      </w:pPr>
    </w:p>
    <w:p w14:paraId="74782355" w14:textId="1FEEEC9E" w:rsidR="00D760E5" w:rsidRDefault="40CAFB3C" w:rsidP="40CAFB3C">
      <w:pPr>
        <w:pStyle w:val="BodyText"/>
        <w:spacing w:line="254" w:lineRule="auto"/>
        <w:ind w:right="608"/>
        <w:jc w:val="both"/>
        <w:rPr>
          <w:sz w:val="22"/>
          <w:szCs w:val="22"/>
        </w:rPr>
      </w:pPr>
      <w:r>
        <w:rPr>
          <w:rStyle w:val="None"/>
          <w:position w:val="2"/>
          <w:sz w:val="22"/>
          <w:szCs w:val="22"/>
        </w:rPr>
        <w:t>June 15</w:t>
      </w:r>
      <w:r>
        <w:rPr>
          <w:rStyle w:val="None"/>
          <w:spacing w:val="80"/>
          <w:position w:val="2"/>
          <w:sz w:val="22"/>
          <w:szCs w:val="22"/>
        </w:rPr>
        <w:t xml:space="preserve"> </w:t>
      </w:r>
      <w:r>
        <w:rPr>
          <w:rStyle w:val="None"/>
          <w:sz w:val="22"/>
          <w:szCs w:val="22"/>
        </w:rPr>
        <w:t xml:space="preserve">All annual reviews for faculty </w:t>
      </w:r>
      <w:r>
        <w:rPr>
          <w:rStyle w:val="None"/>
          <w:sz w:val="22"/>
          <w:szCs w:val="22"/>
          <w:u w:val="single"/>
        </w:rPr>
        <w:t>not</w:t>
      </w:r>
      <w:r>
        <w:rPr>
          <w:rStyle w:val="None"/>
          <w:sz w:val="22"/>
          <w:szCs w:val="22"/>
        </w:rPr>
        <w:t xml:space="preserve"> undergoing tenure and/or promotion review </w:t>
      </w:r>
      <w:r w:rsidR="1A292B46">
        <w:rPr>
          <w:rStyle w:val="None"/>
          <w:sz w:val="22"/>
          <w:szCs w:val="22"/>
        </w:rPr>
        <w:t>are</w:t>
      </w:r>
      <w:r>
        <w:rPr>
          <w:rStyle w:val="None"/>
          <w:sz w:val="22"/>
          <w:szCs w:val="22"/>
        </w:rPr>
        <w:t xml:space="preserve"> to be completed with summary results submitted to HHD HR and individual faculty members informed of results in writing by this date.</w:t>
      </w:r>
    </w:p>
    <w:sectPr w:rsidR="00D760E5">
      <w:headerReference w:type="default" r:id="rId20"/>
      <w:headerReference w:type="first" r:id="rId21"/>
      <w:pgSz w:w="12240" w:h="15840"/>
      <w:pgMar w:top="1080" w:right="880" w:bottom="280" w:left="1340" w:header="215" w:footer="7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A13D" w14:textId="77777777" w:rsidR="00CA690D" w:rsidRDefault="00CA690D">
      <w:r>
        <w:separator/>
      </w:r>
    </w:p>
  </w:endnote>
  <w:endnote w:type="continuationSeparator" w:id="0">
    <w:p w14:paraId="47A57628" w14:textId="77777777" w:rsidR="00CA690D" w:rsidRDefault="00CA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AC48" w14:textId="3B0812F3" w:rsidR="00D760E5" w:rsidRDefault="00000000">
    <w:pPr>
      <w:pStyle w:val="Footer"/>
      <w:tabs>
        <w:tab w:val="clear" w:pos="9360"/>
        <w:tab w:val="right" w:pos="9990"/>
      </w:tabs>
    </w:pPr>
    <w:r>
      <w:rPr>
        <w:b/>
        <w:bCs/>
        <w:sz w:val="18"/>
        <w:szCs w:val="18"/>
      </w:rPr>
      <w:t>HHD Tenure Line P&amp;T Guidelines 2022-23</w:t>
    </w:r>
    <w:r>
      <w:rPr>
        <w:b/>
        <w:bCs/>
        <w:sz w:val="18"/>
        <w:szCs w:val="18"/>
      </w:rPr>
      <w:tab/>
    </w:r>
    <w:r>
      <w:rPr>
        <w:b/>
        <w:bCs/>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6065C3">
      <w:rPr>
        <w:b/>
        <w:bCs/>
        <w:noProof/>
        <w:sz w:val="18"/>
        <w:szCs w:val="18"/>
      </w:rPr>
      <w:t>2</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760E5" w:rsidRDefault="00D760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3D4B" w14:textId="77777777" w:rsidR="00CA690D" w:rsidRDefault="00CA690D">
      <w:r>
        <w:separator/>
      </w:r>
    </w:p>
  </w:footnote>
  <w:footnote w:type="continuationSeparator" w:id="0">
    <w:p w14:paraId="7C6BDE62" w14:textId="77777777" w:rsidR="00CA690D" w:rsidRDefault="00CA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D760E5" w:rsidRDefault="00D760E5">
    <w:pPr>
      <w:pStyle w:val="BodyText"/>
      <w:spacing w:line="14" w:lineRule="auto"/>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D760E5" w:rsidRDefault="00D760E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D760E5" w:rsidRDefault="00D760E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D760E5" w:rsidRDefault="00D760E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760E5" w:rsidRDefault="00D760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C0EF"/>
    <w:multiLevelType w:val="hybridMultilevel"/>
    <w:tmpl w:val="87FAF714"/>
    <w:styleLink w:val="ImportedStyle11"/>
    <w:lvl w:ilvl="0" w:tplc="7432047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67A14">
      <w:start w:val="1"/>
      <w:numFmt w:val="lowerLetter"/>
      <w:lvlText w:val="%2."/>
      <w:lvlJc w:val="left"/>
      <w:pPr>
        <w:ind w:left="2160"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E648DBB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A8853E">
      <w:start w:val="1"/>
      <w:numFmt w:val="lowerRoman"/>
      <w:lvlText w:val="%4."/>
      <w:lvlJc w:val="left"/>
      <w:pPr>
        <w:ind w:left="360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1D28EC1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9AEC26">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BE4249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68A27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CA2BF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38D9E4"/>
    <w:multiLevelType w:val="hybridMultilevel"/>
    <w:tmpl w:val="00980DC8"/>
    <w:styleLink w:val="ImportedStyle4"/>
    <w:lvl w:ilvl="0" w:tplc="19A643D4">
      <w:start w:val="1"/>
      <w:numFmt w:val="upperLetter"/>
      <w:lvlText w:val="%1."/>
      <w:lvlJc w:val="left"/>
      <w:pPr>
        <w:ind w:left="916" w:hanging="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C80BA6">
      <w:start w:val="1"/>
      <w:numFmt w:val="decimal"/>
      <w:lvlText w:val="%2."/>
      <w:lvlJc w:val="left"/>
      <w:pPr>
        <w:ind w:left="127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1A4516">
      <w:start w:val="1"/>
      <w:numFmt w:val="decimal"/>
      <w:lvlText w:val="%3."/>
      <w:lvlJc w:val="left"/>
      <w:pPr>
        <w:tabs>
          <w:tab w:val="left" w:pos="1276"/>
        </w:tabs>
        <w:ind w:left="218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9C82B4">
      <w:start w:val="1"/>
      <w:numFmt w:val="decimal"/>
      <w:lvlText w:val="%4."/>
      <w:lvlJc w:val="left"/>
      <w:pPr>
        <w:tabs>
          <w:tab w:val="left" w:pos="1276"/>
        </w:tabs>
        <w:ind w:left="308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D06AAC">
      <w:start w:val="1"/>
      <w:numFmt w:val="decimal"/>
      <w:lvlText w:val="%5."/>
      <w:lvlJc w:val="left"/>
      <w:pPr>
        <w:tabs>
          <w:tab w:val="left" w:pos="1276"/>
        </w:tabs>
        <w:ind w:left="3994"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DA683E">
      <w:start w:val="1"/>
      <w:numFmt w:val="decimal"/>
      <w:lvlText w:val="%6."/>
      <w:lvlJc w:val="left"/>
      <w:pPr>
        <w:tabs>
          <w:tab w:val="left" w:pos="1276"/>
        </w:tabs>
        <w:ind w:left="4900"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8ED772">
      <w:start w:val="1"/>
      <w:numFmt w:val="decimal"/>
      <w:lvlText w:val="%7."/>
      <w:lvlJc w:val="left"/>
      <w:pPr>
        <w:tabs>
          <w:tab w:val="left" w:pos="1276"/>
        </w:tabs>
        <w:ind w:left="580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701CE6">
      <w:start w:val="1"/>
      <w:numFmt w:val="decimal"/>
      <w:lvlText w:val="%8."/>
      <w:lvlJc w:val="left"/>
      <w:pPr>
        <w:tabs>
          <w:tab w:val="left" w:pos="1276"/>
        </w:tabs>
        <w:ind w:left="671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386466">
      <w:start w:val="1"/>
      <w:numFmt w:val="decimal"/>
      <w:lvlText w:val="%9."/>
      <w:lvlJc w:val="left"/>
      <w:pPr>
        <w:tabs>
          <w:tab w:val="left" w:pos="1276"/>
        </w:tabs>
        <w:ind w:left="761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D11FB2"/>
    <w:multiLevelType w:val="hybridMultilevel"/>
    <w:tmpl w:val="14FA0452"/>
    <w:lvl w:ilvl="0" w:tplc="FB2EA424">
      <w:start w:val="1"/>
      <w:numFmt w:val="bullet"/>
      <w:lvlText w:val="−"/>
      <w:lvlJc w:val="left"/>
      <w:pPr>
        <w:ind w:left="1080" w:hanging="360"/>
      </w:pPr>
      <w:rPr>
        <w:rFonts w:ascii="Arial" w:hAnsi="Arial" w:hint="default"/>
      </w:rPr>
    </w:lvl>
    <w:lvl w:ilvl="1" w:tplc="66F89D62">
      <w:start w:val="1"/>
      <w:numFmt w:val="bullet"/>
      <w:lvlText w:val="o"/>
      <w:lvlJc w:val="left"/>
      <w:pPr>
        <w:ind w:left="1800" w:hanging="360"/>
      </w:pPr>
      <w:rPr>
        <w:rFonts w:ascii="Courier New" w:hAnsi="Courier New" w:hint="default"/>
      </w:rPr>
    </w:lvl>
    <w:lvl w:ilvl="2" w:tplc="3906E89E">
      <w:start w:val="1"/>
      <w:numFmt w:val="bullet"/>
      <w:lvlText w:val=""/>
      <w:lvlJc w:val="left"/>
      <w:pPr>
        <w:ind w:left="2520" w:hanging="360"/>
      </w:pPr>
      <w:rPr>
        <w:rFonts w:ascii="Wingdings" w:hAnsi="Wingdings" w:hint="default"/>
      </w:rPr>
    </w:lvl>
    <w:lvl w:ilvl="3" w:tplc="87206350">
      <w:start w:val="1"/>
      <w:numFmt w:val="bullet"/>
      <w:lvlText w:val=""/>
      <w:lvlJc w:val="left"/>
      <w:pPr>
        <w:ind w:left="3240" w:hanging="360"/>
      </w:pPr>
      <w:rPr>
        <w:rFonts w:ascii="Symbol" w:hAnsi="Symbol" w:hint="default"/>
      </w:rPr>
    </w:lvl>
    <w:lvl w:ilvl="4" w:tplc="4C188900">
      <w:start w:val="1"/>
      <w:numFmt w:val="bullet"/>
      <w:lvlText w:val="o"/>
      <w:lvlJc w:val="left"/>
      <w:pPr>
        <w:ind w:left="3960" w:hanging="360"/>
      </w:pPr>
      <w:rPr>
        <w:rFonts w:ascii="Courier New" w:hAnsi="Courier New" w:hint="default"/>
      </w:rPr>
    </w:lvl>
    <w:lvl w:ilvl="5" w:tplc="5FB07F14">
      <w:start w:val="1"/>
      <w:numFmt w:val="bullet"/>
      <w:lvlText w:val=""/>
      <w:lvlJc w:val="left"/>
      <w:pPr>
        <w:ind w:left="4680" w:hanging="360"/>
      </w:pPr>
      <w:rPr>
        <w:rFonts w:ascii="Wingdings" w:hAnsi="Wingdings" w:hint="default"/>
      </w:rPr>
    </w:lvl>
    <w:lvl w:ilvl="6" w:tplc="B8762E3A">
      <w:start w:val="1"/>
      <w:numFmt w:val="bullet"/>
      <w:lvlText w:val=""/>
      <w:lvlJc w:val="left"/>
      <w:pPr>
        <w:ind w:left="5400" w:hanging="360"/>
      </w:pPr>
      <w:rPr>
        <w:rFonts w:ascii="Symbol" w:hAnsi="Symbol" w:hint="default"/>
      </w:rPr>
    </w:lvl>
    <w:lvl w:ilvl="7" w:tplc="AC54BD0C">
      <w:start w:val="1"/>
      <w:numFmt w:val="bullet"/>
      <w:lvlText w:val="o"/>
      <w:lvlJc w:val="left"/>
      <w:pPr>
        <w:ind w:left="6120" w:hanging="360"/>
      </w:pPr>
      <w:rPr>
        <w:rFonts w:ascii="Courier New" w:hAnsi="Courier New" w:hint="default"/>
      </w:rPr>
    </w:lvl>
    <w:lvl w:ilvl="8" w:tplc="0694CF9C">
      <w:start w:val="1"/>
      <w:numFmt w:val="bullet"/>
      <w:lvlText w:val=""/>
      <w:lvlJc w:val="left"/>
      <w:pPr>
        <w:ind w:left="6840" w:hanging="360"/>
      </w:pPr>
      <w:rPr>
        <w:rFonts w:ascii="Wingdings" w:hAnsi="Wingdings" w:hint="default"/>
      </w:rPr>
    </w:lvl>
  </w:abstractNum>
  <w:abstractNum w:abstractNumId="3" w15:restartNumberingAfterBreak="0">
    <w:nsid w:val="0F951B99"/>
    <w:multiLevelType w:val="hybridMultilevel"/>
    <w:tmpl w:val="F9FE15D2"/>
    <w:lvl w:ilvl="0" w:tplc="A19EBEB8">
      <w:start w:val="1"/>
      <w:numFmt w:val="decimal"/>
      <w:lvlText w:val="%1."/>
      <w:lvlJc w:val="left"/>
      <w:pPr>
        <w:ind w:left="720" w:hanging="360"/>
      </w:pPr>
    </w:lvl>
    <w:lvl w:ilvl="1" w:tplc="39C8FD24">
      <w:start w:val="1"/>
      <w:numFmt w:val="lowerLetter"/>
      <w:lvlText w:val="%2."/>
      <w:lvlJc w:val="left"/>
      <w:pPr>
        <w:ind w:left="1440" w:hanging="360"/>
      </w:pPr>
    </w:lvl>
    <w:lvl w:ilvl="2" w:tplc="0EB8E792">
      <w:start w:val="1"/>
      <w:numFmt w:val="lowerRoman"/>
      <w:lvlText w:val="%3."/>
      <w:lvlJc w:val="right"/>
      <w:pPr>
        <w:ind w:left="2160" w:hanging="180"/>
      </w:pPr>
    </w:lvl>
    <w:lvl w:ilvl="3" w:tplc="8F9CD13C">
      <w:start w:val="1"/>
      <w:numFmt w:val="decimal"/>
      <w:lvlText w:val="%4."/>
      <w:lvlJc w:val="left"/>
      <w:pPr>
        <w:ind w:left="2880" w:hanging="360"/>
      </w:pPr>
    </w:lvl>
    <w:lvl w:ilvl="4" w:tplc="8536F902">
      <w:start w:val="1"/>
      <w:numFmt w:val="lowerLetter"/>
      <w:lvlText w:val="%5."/>
      <w:lvlJc w:val="left"/>
      <w:pPr>
        <w:ind w:left="3600" w:hanging="360"/>
      </w:pPr>
    </w:lvl>
    <w:lvl w:ilvl="5" w:tplc="8BA4A57C">
      <w:start w:val="1"/>
      <w:numFmt w:val="lowerRoman"/>
      <w:lvlText w:val="%6."/>
      <w:lvlJc w:val="right"/>
      <w:pPr>
        <w:ind w:left="4320" w:hanging="180"/>
      </w:pPr>
    </w:lvl>
    <w:lvl w:ilvl="6" w:tplc="347E39CE">
      <w:start w:val="1"/>
      <w:numFmt w:val="decimal"/>
      <w:lvlText w:val="%7."/>
      <w:lvlJc w:val="left"/>
      <w:pPr>
        <w:ind w:left="5040" w:hanging="360"/>
      </w:pPr>
    </w:lvl>
    <w:lvl w:ilvl="7" w:tplc="F8F2F8D8">
      <w:start w:val="1"/>
      <w:numFmt w:val="lowerLetter"/>
      <w:lvlText w:val="%8."/>
      <w:lvlJc w:val="left"/>
      <w:pPr>
        <w:ind w:left="5760" w:hanging="360"/>
      </w:pPr>
    </w:lvl>
    <w:lvl w:ilvl="8" w:tplc="14F8B4A2">
      <w:start w:val="1"/>
      <w:numFmt w:val="lowerRoman"/>
      <w:lvlText w:val="%9."/>
      <w:lvlJc w:val="right"/>
      <w:pPr>
        <w:ind w:left="6480" w:hanging="180"/>
      </w:pPr>
    </w:lvl>
  </w:abstractNum>
  <w:abstractNum w:abstractNumId="4" w15:restartNumberingAfterBreak="0">
    <w:nsid w:val="147234D4"/>
    <w:multiLevelType w:val="hybridMultilevel"/>
    <w:tmpl w:val="BF78F320"/>
    <w:styleLink w:val="ImportedStyle40"/>
    <w:lvl w:ilvl="0" w:tplc="A5CA9F6A">
      <w:start w:val="1"/>
      <w:numFmt w:val="bullet"/>
      <w:lvlText w:val="-"/>
      <w:lvlJc w:val="left"/>
      <w:pPr>
        <w:tabs>
          <w:tab w:val="left" w:pos="1560"/>
        </w:tabs>
        <w:ind w:left="2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42D06C">
      <w:start w:val="1"/>
      <w:numFmt w:val="bullet"/>
      <w:lvlText w:val="-"/>
      <w:lvlJc w:val="left"/>
      <w:pPr>
        <w:tabs>
          <w:tab w:val="left" w:pos="1560"/>
        </w:tabs>
        <w:ind w:left="895"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9E36E6">
      <w:start w:val="1"/>
      <w:numFmt w:val="bullet"/>
      <w:lvlText w:val="-"/>
      <w:lvlJc w:val="left"/>
      <w:pPr>
        <w:tabs>
          <w:tab w:val="left" w:pos="1560"/>
        </w:tabs>
        <w:ind w:left="155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BA8F62">
      <w:start w:val="1"/>
      <w:numFmt w:val="bullet"/>
      <w:lvlText w:val="•"/>
      <w:lvlJc w:val="left"/>
      <w:pPr>
        <w:ind w:left="1560"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A2150C">
      <w:start w:val="1"/>
      <w:numFmt w:val="bullet"/>
      <w:lvlText w:val="•"/>
      <w:lvlJc w:val="left"/>
      <w:pPr>
        <w:tabs>
          <w:tab w:val="left" w:pos="1560"/>
        </w:tabs>
        <w:ind w:left="2778"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1ECDBD4">
      <w:start w:val="1"/>
      <w:numFmt w:val="bullet"/>
      <w:lvlText w:val="•"/>
      <w:lvlJc w:val="left"/>
      <w:pPr>
        <w:tabs>
          <w:tab w:val="left" w:pos="1560"/>
        </w:tabs>
        <w:ind w:left="3987"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905CEE">
      <w:start w:val="1"/>
      <w:numFmt w:val="bullet"/>
      <w:lvlText w:val="•"/>
      <w:lvlJc w:val="left"/>
      <w:pPr>
        <w:tabs>
          <w:tab w:val="left" w:pos="1560"/>
        </w:tabs>
        <w:ind w:left="5195"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CE5436">
      <w:start w:val="1"/>
      <w:numFmt w:val="bullet"/>
      <w:lvlText w:val="•"/>
      <w:lvlJc w:val="left"/>
      <w:pPr>
        <w:tabs>
          <w:tab w:val="left" w:pos="1560"/>
        </w:tabs>
        <w:ind w:left="6404"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7013B8">
      <w:start w:val="1"/>
      <w:numFmt w:val="bullet"/>
      <w:lvlText w:val="•"/>
      <w:lvlJc w:val="left"/>
      <w:pPr>
        <w:tabs>
          <w:tab w:val="left" w:pos="1560"/>
        </w:tabs>
        <w:ind w:left="7612" w:hanging="28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4B6F8EA"/>
    <w:multiLevelType w:val="hybridMultilevel"/>
    <w:tmpl w:val="3148DDA2"/>
    <w:styleLink w:val="ImportedStyle14"/>
    <w:lvl w:ilvl="0" w:tplc="4C06EAF6">
      <w:start w:val="1"/>
      <w:numFmt w:val="lowerLetter"/>
      <w:suff w:val="nothing"/>
      <w:lvlText w:val="%1."/>
      <w:lvlJc w:val="left"/>
      <w:pPr>
        <w:ind w:left="1275"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56A05AA">
      <w:start w:val="1"/>
      <w:numFmt w:val="lowerLetter"/>
      <w:suff w:val="nothing"/>
      <w:lvlText w:val="%2."/>
      <w:lvlJc w:val="left"/>
      <w:pPr>
        <w:ind w:left="1995"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622387C">
      <w:start w:val="1"/>
      <w:numFmt w:val="lowerRoman"/>
      <w:lvlText w:val="%3."/>
      <w:lvlJc w:val="left"/>
      <w:pPr>
        <w:ind w:left="2715"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69E85C94">
      <w:start w:val="1"/>
      <w:numFmt w:val="decimal"/>
      <w:suff w:val="nothing"/>
      <w:lvlText w:val="%4."/>
      <w:lvlJc w:val="left"/>
      <w:pPr>
        <w:ind w:left="343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4A6A4C2">
      <w:start w:val="1"/>
      <w:numFmt w:val="lowerLetter"/>
      <w:suff w:val="nothing"/>
      <w:lvlText w:val="%5."/>
      <w:lvlJc w:val="left"/>
      <w:pPr>
        <w:ind w:left="4155"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B666486">
      <w:start w:val="1"/>
      <w:numFmt w:val="lowerRoman"/>
      <w:lvlText w:val="%6."/>
      <w:lvlJc w:val="left"/>
      <w:pPr>
        <w:ind w:left="4875"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E8AA4756">
      <w:start w:val="1"/>
      <w:numFmt w:val="decimal"/>
      <w:suff w:val="nothing"/>
      <w:lvlText w:val="%7."/>
      <w:lvlJc w:val="left"/>
      <w:pPr>
        <w:ind w:left="5595"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E36FBB4">
      <w:start w:val="1"/>
      <w:numFmt w:val="lowerLetter"/>
      <w:suff w:val="nothing"/>
      <w:lvlText w:val="%8."/>
      <w:lvlJc w:val="left"/>
      <w:pPr>
        <w:ind w:left="6315"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1CC338E">
      <w:start w:val="1"/>
      <w:numFmt w:val="lowerRoman"/>
      <w:lvlText w:val="%9."/>
      <w:lvlJc w:val="left"/>
      <w:pPr>
        <w:ind w:left="7035"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624A2"/>
    <w:multiLevelType w:val="hybridMultilevel"/>
    <w:tmpl w:val="118C79E4"/>
    <w:styleLink w:val="ImportedStyle1"/>
    <w:lvl w:ilvl="0" w:tplc="C636BA94">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AE2DC8">
      <w:start w:val="1"/>
      <w:numFmt w:val="upperLetter"/>
      <w:lvlText w:val="%2."/>
      <w:lvlJc w:val="left"/>
      <w:pPr>
        <w:ind w:left="916"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EC5AD8">
      <w:start w:val="1"/>
      <w:numFmt w:val="upperLetter"/>
      <w:lvlText w:val="%3."/>
      <w:lvlJc w:val="left"/>
      <w:pPr>
        <w:tabs>
          <w:tab w:val="left" w:pos="1276"/>
        </w:tabs>
        <w:ind w:left="1275" w:hanging="360"/>
      </w:pPr>
      <w:rP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663A80">
      <w:start w:val="1"/>
      <w:numFmt w:val="decimal"/>
      <w:lvlText w:val="%4."/>
      <w:lvlJc w:val="left"/>
      <w:pPr>
        <w:tabs>
          <w:tab w:val="left" w:pos="1276"/>
        </w:tabs>
        <w:ind w:left="1733"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7CA86FE">
      <w:start w:val="1"/>
      <w:numFmt w:val="decimal"/>
      <w:lvlText w:val="%5."/>
      <w:lvlJc w:val="left"/>
      <w:pPr>
        <w:tabs>
          <w:tab w:val="left" w:pos="1276"/>
        </w:tabs>
        <w:ind w:left="219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074FA6C">
      <w:start w:val="1"/>
      <w:numFmt w:val="decimal"/>
      <w:lvlText w:val="%6."/>
      <w:lvlJc w:val="left"/>
      <w:pPr>
        <w:tabs>
          <w:tab w:val="left" w:pos="1276"/>
        </w:tabs>
        <w:ind w:left="2648"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E07E46">
      <w:start w:val="1"/>
      <w:numFmt w:val="decimal"/>
      <w:lvlText w:val="%7."/>
      <w:lvlJc w:val="left"/>
      <w:pPr>
        <w:tabs>
          <w:tab w:val="left" w:pos="1276"/>
        </w:tabs>
        <w:ind w:left="3105"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E8E176">
      <w:start w:val="1"/>
      <w:numFmt w:val="decimal"/>
      <w:lvlText w:val="%8."/>
      <w:lvlJc w:val="left"/>
      <w:pPr>
        <w:tabs>
          <w:tab w:val="left" w:pos="1276"/>
        </w:tabs>
        <w:ind w:left="3563"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9FAEAF0">
      <w:start w:val="1"/>
      <w:numFmt w:val="decimal"/>
      <w:lvlText w:val="%9."/>
      <w:lvlJc w:val="left"/>
      <w:pPr>
        <w:tabs>
          <w:tab w:val="left" w:pos="1276"/>
        </w:tabs>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DEA0434"/>
    <w:multiLevelType w:val="hybridMultilevel"/>
    <w:tmpl w:val="B6E88E18"/>
    <w:styleLink w:val="ImportedStyle10"/>
    <w:lvl w:ilvl="0" w:tplc="9222C3A0">
      <w:start w:val="1"/>
      <w:numFmt w:val="bullet"/>
      <w:lvlText w:val="-"/>
      <w:lvlJc w:val="left"/>
      <w:pPr>
        <w:ind w:left="21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800200">
      <w:start w:val="1"/>
      <w:numFmt w:val="bullet"/>
      <w:lvlText w:val="-"/>
      <w:lvlJc w:val="left"/>
      <w:pPr>
        <w:ind w:left="196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3CECA3FE">
      <w:start w:val="1"/>
      <w:numFmt w:val="bullet"/>
      <w:lvlText w:val="-"/>
      <w:lvlJc w:val="left"/>
      <w:pPr>
        <w:ind w:left="268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3" w:tplc="E64A41BE">
      <w:start w:val="1"/>
      <w:numFmt w:val="bullet"/>
      <w:lvlText w:val="-"/>
      <w:lvlJc w:val="left"/>
      <w:pPr>
        <w:ind w:left="340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96C0B6A8">
      <w:start w:val="1"/>
      <w:numFmt w:val="bullet"/>
      <w:lvlText w:val="-"/>
      <w:lvlJc w:val="left"/>
      <w:pPr>
        <w:ind w:left="412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5" w:tplc="F718E302">
      <w:start w:val="1"/>
      <w:numFmt w:val="bullet"/>
      <w:lvlText w:val="-"/>
      <w:lvlJc w:val="left"/>
      <w:pPr>
        <w:ind w:left="484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6" w:tplc="70FAC418">
      <w:start w:val="1"/>
      <w:numFmt w:val="bullet"/>
      <w:lvlText w:val="-"/>
      <w:lvlJc w:val="left"/>
      <w:pPr>
        <w:ind w:left="556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7" w:tplc="80722EAE">
      <w:start w:val="1"/>
      <w:numFmt w:val="bullet"/>
      <w:lvlText w:val="-"/>
      <w:lvlJc w:val="left"/>
      <w:pPr>
        <w:ind w:left="628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8" w:tplc="4C3615C8">
      <w:start w:val="1"/>
      <w:numFmt w:val="bullet"/>
      <w:lvlText w:val="-"/>
      <w:lvlJc w:val="left"/>
      <w:pPr>
        <w:ind w:left="7004"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0289E1"/>
    <w:multiLevelType w:val="hybridMultilevel"/>
    <w:tmpl w:val="D72647AE"/>
    <w:styleLink w:val="ImportedStyle2"/>
    <w:lvl w:ilvl="0" w:tplc="34889488">
      <w:start w:val="1"/>
      <w:numFmt w:val="bullet"/>
      <w:lvlText w:val="−"/>
      <w:lvlJc w:val="left"/>
      <w:pPr>
        <w:tabs>
          <w:tab w:val="left" w:pos="1776"/>
        </w:tabs>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0A82CA">
      <w:start w:val="1"/>
      <w:numFmt w:val="bullet"/>
      <w:lvlText w:val="−"/>
      <w:lvlJc w:val="left"/>
      <w:pPr>
        <w:tabs>
          <w:tab w:val="left" w:pos="1776"/>
        </w:tabs>
        <w:ind w:left="802"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EC821E">
      <w:start w:val="1"/>
      <w:numFmt w:val="bullet"/>
      <w:lvlText w:val="−"/>
      <w:lvlJc w:val="left"/>
      <w:pPr>
        <w:tabs>
          <w:tab w:val="left" w:pos="1776"/>
        </w:tabs>
        <w:ind w:left="1273"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52E9A0">
      <w:start w:val="1"/>
      <w:numFmt w:val="bullet"/>
      <w:lvlText w:val="-"/>
      <w:lvlJc w:val="left"/>
      <w:pPr>
        <w:tabs>
          <w:tab w:val="left" w:pos="1776"/>
        </w:tabs>
        <w:ind w:left="1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ECED6">
      <w:start w:val="1"/>
      <w:numFmt w:val="bullet"/>
      <w:lvlText w:val="·"/>
      <w:lvlJc w:val="left"/>
      <w:pPr>
        <w:tabs>
          <w:tab w:val="left" w:pos="1776"/>
        </w:tabs>
        <w:ind w:left="1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C2B718">
      <w:start w:val="1"/>
      <w:numFmt w:val="bullet"/>
      <w:lvlText w:val="·"/>
      <w:lvlJc w:val="left"/>
      <w:pPr>
        <w:ind w:left="1776" w:hanging="3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34CE1E0">
      <w:start w:val="1"/>
      <w:numFmt w:val="bullet"/>
      <w:lvlText w:val="·"/>
      <w:lvlJc w:val="left"/>
      <w:pPr>
        <w:tabs>
          <w:tab w:val="left" w:pos="1776"/>
        </w:tabs>
        <w:ind w:left="2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1A1F82">
      <w:start w:val="1"/>
      <w:numFmt w:val="bullet"/>
      <w:lvlText w:val="·"/>
      <w:lvlJc w:val="left"/>
      <w:pPr>
        <w:tabs>
          <w:tab w:val="left" w:pos="1776"/>
        </w:tabs>
        <w:ind w:left="42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9AE394">
      <w:start w:val="1"/>
      <w:numFmt w:val="bullet"/>
      <w:lvlText w:val="·"/>
      <w:lvlJc w:val="left"/>
      <w:pPr>
        <w:tabs>
          <w:tab w:val="left" w:pos="1776"/>
        </w:tabs>
        <w:ind w:left="6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5EE199"/>
    <w:multiLevelType w:val="hybridMultilevel"/>
    <w:tmpl w:val="5AB41DEA"/>
    <w:lvl w:ilvl="0" w:tplc="1172A258">
      <w:start w:val="1"/>
      <w:numFmt w:val="decimal"/>
      <w:lvlText w:val="%1."/>
      <w:lvlJc w:val="left"/>
      <w:pPr>
        <w:ind w:left="1440" w:hanging="360"/>
      </w:pPr>
    </w:lvl>
    <w:lvl w:ilvl="1" w:tplc="9078C100">
      <w:start w:val="1"/>
      <w:numFmt w:val="lowerLetter"/>
      <w:lvlText w:val="%2."/>
      <w:lvlJc w:val="left"/>
      <w:pPr>
        <w:ind w:left="2160" w:hanging="360"/>
      </w:pPr>
    </w:lvl>
    <w:lvl w:ilvl="2" w:tplc="CD885326">
      <w:start w:val="1"/>
      <w:numFmt w:val="lowerRoman"/>
      <w:lvlText w:val="%3."/>
      <w:lvlJc w:val="right"/>
      <w:pPr>
        <w:ind w:left="2880" w:hanging="180"/>
      </w:pPr>
    </w:lvl>
    <w:lvl w:ilvl="3" w:tplc="2ED4E356">
      <w:start w:val="1"/>
      <w:numFmt w:val="decimal"/>
      <w:lvlText w:val="%4."/>
      <w:lvlJc w:val="left"/>
      <w:pPr>
        <w:ind w:left="3600" w:hanging="360"/>
      </w:pPr>
    </w:lvl>
    <w:lvl w:ilvl="4" w:tplc="EBBAC9C2">
      <w:start w:val="1"/>
      <w:numFmt w:val="lowerLetter"/>
      <w:lvlText w:val="%5."/>
      <w:lvlJc w:val="left"/>
      <w:pPr>
        <w:ind w:left="4320" w:hanging="360"/>
      </w:pPr>
    </w:lvl>
    <w:lvl w:ilvl="5" w:tplc="C8D2A514">
      <w:start w:val="1"/>
      <w:numFmt w:val="lowerRoman"/>
      <w:lvlText w:val="%6."/>
      <w:lvlJc w:val="right"/>
      <w:pPr>
        <w:ind w:left="5040" w:hanging="180"/>
      </w:pPr>
    </w:lvl>
    <w:lvl w:ilvl="6" w:tplc="612C6662">
      <w:start w:val="1"/>
      <w:numFmt w:val="decimal"/>
      <w:lvlText w:val="%7."/>
      <w:lvlJc w:val="left"/>
      <w:pPr>
        <w:ind w:left="5760" w:hanging="360"/>
      </w:pPr>
    </w:lvl>
    <w:lvl w:ilvl="7" w:tplc="5302C5A4">
      <w:start w:val="1"/>
      <w:numFmt w:val="lowerLetter"/>
      <w:lvlText w:val="%8."/>
      <w:lvlJc w:val="left"/>
      <w:pPr>
        <w:ind w:left="6480" w:hanging="360"/>
      </w:pPr>
    </w:lvl>
    <w:lvl w:ilvl="8" w:tplc="D3248DB6">
      <w:start w:val="1"/>
      <w:numFmt w:val="lowerRoman"/>
      <w:lvlText w:val="%9."/>
      <w:lvlJc w:val="right"/>
      <w:pPr>
        <w:ind w:left="7200" w:hanging="180"/>
      </w:pPr>
    </w:lvl>
  </w:abstractNum>
  <w:abstractNum w:abstractNumId="10" w15:restartNumberingAfterBreak="0">
    <w:nsid w:val="26CCB37B"/>
    <w:multiLevelType w:val="hybridMultilevel"/>
    <w:tmpl w:val="E5A444F8"/>
    <w:styleLink w:val="ImportedStyle9"/>
    <w:lvl w:ilvl="0" w:tplc="611AA6B6">
      <w:start w:val="1"/>
      <w:numFmt w:val="decimal"/>
      <w:lvlText w:val="%1."/>
      <w:lvlJc w:val="left"/>
      <w:pPr>
        <w:tabs>
          <w:tab w:val="left" w:pos="720"/>
          <w:tab w:val="left" w:pos="2340"/>
        </w:tabs>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C968AF8">
      <w:start w:val="1"/>
      <w:numFmt w:val="decimal"/>
      <w:lvlText w:val="%2."/>
      <w:lvlJc w:val="left"/>
      <w:pPr>
        <w:tabs>
          <w:tab w:val="left" w:pos="720"/>
          <w:tab w:val="left" w:pos="234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B0D44B4C">
      <w:start w:val="1"/>
      <w:numFmt w:val="decimal"/>
      <w:lvlText w:val="%3."/>
      <w:lvlJc w:val="left"/>
      <w:pPr>
        <w:tabs>
          <w:tab w:val="left" w:pos="720"/>
          <w:tab w:val="left" w:pos="234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2422A0CE">
      <w:start w:val="1"/>
      <w:numFmt w:val="decimal"/>
      <w:lvlText w:val="%4."/>
      <w:lvlJc w:val="left"/>
      <w:pPr>
        <w:tabs>
          <w:tab w:val="left" w:pos="720"/>
          <w:tab w:val="left" w:pos="2340"/>
        </w:tabs>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11A01C6">
      <w:start w:val="1"/>
      <w:numFmt w:val="decimal"/>
      <w:lvlText w:val="%5."/>
      <w:lvlJc w:val="left"/>
      <w:pPr>
        <w:tabs>
          <w:tab w:val="left" w:pos="720"/>
          <w:tab w:val="left" w:pos="234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52E2FB02">
      <w:start w:val="1"/>
      <w:numFmt w:val="decimal"/>
      <w:lvlText w:val="%6."/>
      <w:lvlJc w:val="left"/>
      <w:pPr>
        <w:tabs>
          <w:tab w:val="left" w:pos="720"/>
          <w:tab w:val="left" w:pos="234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21E4726C">
      <w:start w:val="1"/>
      <w:numFmt w:val="decimal"/>
      <w:lvlText w:val="%7."/>
      <w:lvlJc w:val="left"/>
      <w:pPr>
        <w:tabs>
          <w:tab w:val="left" w:pos="720"/>
          <w:tab w:val="left" w:pos="2340"/>
        </w:tabs>
        <w:ind w:left="630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BC877F8">
      <w:start w:val="1"/>
      <w:numFmt w:val="decimal"/>
      <w:lvlText w:val="%8."/>
      <w:lvlJc w:val="left"/>
      <w:pPr>
        <w:tabs>
          <w:tab w:val="left" w:pos="720"/>
          <w:tab w:val="left" w:pos="2340"/>
        </w:tabs>
        <w:ind w:left="70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4D23E36">
      <w:start w:val="1"/>
      <w:numFmt w:val="decimal"/>
      <w:lvlText w:val="%9."/>
      <w:lvlJc w:val="left"/>
      <w:pPr>
        <w:tabs>
          <w:tab w:val="left" w:pos="720"/>
          <w:tab w:val="left" w:pos="2340"/>
        </w:tabs>
        <w:ind w:left="774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87D334"/>
    <w:multiLevelType w:val="hybridMultilevel"/>
    <w:tmpl w:val="4252CC2A"/>
    <w:styleLink w:val="ImportedStyle15"/>
    <w:lvl w:ilvl="0" w:tplc="1434906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522922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57CCB1A">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2DF0B2A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752BB78">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FEEB104">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890E632A">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F12E89A">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33288DC">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651C4E"/>
    <w:multiLevelType w:val="hybridMultilevel"/>
    <w:tmpl w:val="5F70B00E"/>
    <w:styleLink w:val="ImportedStyle13"/>
    <w:lvl w:ilvl="0" w:tplc="8034BED2">
      <w:start w:val="1"/>
      <w:numFmt w:val="upperLetter"/>
      <w:lvlText w:val="%1."/>
      <w:lvlJc w:val="left"/>
      <w:pPr>
        <w:tabs>
          <w:tab w:val="left" w:pos="916"/>
        </w:tabs>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9D81FA8">
      <w:start w:val="1"/>
      <w:numFmt w:val="lowerLetter"/>
      <w:lvlText w:val="%2."/>
      <w:lvlJc w:val="left"/>
      <w:pPr>
        <w:tabs>
          <w:tab w:val="left" w:pos="916"/>
        </w:tabs>
        <w:ind w:left="1860"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A86176E">
      <w:start w:val="1"/>
      <w:numFmt w:val="lowerLetter"/>
      <w:lvlText w:val="%3."/>
      <w:lvlJc w:val="left"/>
      <w:pPr>
        <w:tabs>
          <w:tab w:val="left" w:pos="916"/>
        </w:tabs>
        <w:ind w:left="3449"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F1EF21E">
      <w:start w:val="1"/>
      <w:numFmt w:val="lowerLetter"/>
      <w:lvlText w:val="%4."/>
      <w:lvlJc w:val="left"/>
      <w:pPr>
        <w:tabs>
          <w:tab w:val="left" w:pos="916"/>
        </w:tabs>
        <w:ind w:left="5038"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C5E7C94">
      <w:start w:val="1"/>
      <w:numFmt w:val="lowerLetter"/>
      <w:lvlText w:val="%5."/>
      <w:lvlJc w:val="left"/>
      <w:pPr>
        <w:tabs>
          <w:tab w:val="left" w:pos="916"/>
        </w:tabs>
        <w:ind w:left="6627"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37AAE90">
      <w:start w:val="1"/>
      <w:numFmt w:val="lowerLetter"/>
      <w:lvlText w:val="%6."/>
      <w:lvlJc w:val="left"/>
      <w:pPr>
        <w:tabs>
          <w:tab w:val="left" w:pos="916"/>
        </w:tabs>
        <w:ind w:left="8216"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D900822">
      <w:start w:val="1"/>
      <w:numFmt w:val="lowerLetter"/>
      <w:lvlText w:val="%7."/>
      <w:lvlJc w:val="left"/>
      <w:pPr>
        <w:tabs>
          <w:tab w:val="left" w:pos="916"/>
        </w:tabs>
        <w:ind w:left="9805"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57E1B54">
      <w:start w:val="1"/>
      <w:numFmt w:val="lowerLetter"/>
      <w:lvlText w:val="%8."/>
      <w:lvlJc w:val="left"/>
      <w:pPr>
        <w:tabs>
          <w:tab w:val="left" w:pos="916"/>
        </w:tabs>
        <w:ind w:left="11394"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B68B412">
      <w:start w:val="1"/>
      <w:numFmt w:val="lowerLetter"/>
      <w:lvlText w:val="%9."/>
      <w:lvlJc w:val="left"/>
      <w:pPr>
        <w:tabs>
          <w:tab w:val="left" w:pos="916"/>
        </w:tabs>
        <w:ind w:left="12983" w:hanging="271"/>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 w15:restartNumberingAfterBreak="0">
    <w:nsid w:val="308F2B00"/>
    <w:multiLevelType w:val="hybridMultilevel"/>
    <w:tmpl w:val="379242DA"/>
    <w:numStyleLink w:val="ImportedStyle7"/>
  </w:abstractNum>
  <w:abstractNum w:abstractNumId="14" w15:restartNumberingAfterBreak="0">
    <w:nsid w:val="31FBCE8C"/>
    <w:multiLevelType w:val="hybridMultilevel"/>
    <w:tmpl w:val="2B42DAEE"/>
    <w:styleLink w:val="ImportedStyle3"/>
    <w:lvl w:ilvl="0" w:tplc="6660D620">
      <w:start w:val="1"/>
      <w:numFmt w:val="bullet"/>
      <w:lvlText w:val="−"/>
      <w:lvlJc w:val="left"/>
      <w:pPr>
        <w:tabs>
          <w:tab w:val="left" w:pos="1780"/>
        </w:tabs>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B6D4B0">
      <w:start w:val="1"/>
      <w:numFmt w:val="bullet"/>
      <w:lvlText w:val="−"/>
      <w:lvlJc w:val="left"/>
      <w:pPr>
        <w:tabs>
          <w:tab w:val="left" w:pos="1780"/>
        </w:tabs>
        <w:ind w:left="802"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7A02C8">
      <w:start w:val="1"/>
      <w:numFmt w:val="bullet"/>
      <w:lvlText w:val="−"/>
      <w:lvlJc w:val="left"/>
      <w:pPr>
        <w:tabs>
          <w:tab w:val="left" w:pos="1780"/>
        </w:tabs>
        <w:ind w:left="1273"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5CD69C">
      <w:start w:val="1"/>
      <w:numFmt w:val="bullet"/>
      <w:lvlText w:val="-"/>
      <w:lvlJc w:val="left"/>
      <w:pPr>
        <w:tabs>
          <w:tab w:val="left" w:pos="1780"/>
        </w:tabs>
        <w:ind w:left="1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86F6F8">
      <w:start w:val="1"/>
      <w:numFmt w:val="bullet"/>
      <w:lvlText w:val="·"/>
      <w:lvlJc w:val="left"/>
      <w:pPr>
        <w:tabs>
          <w:tab w:val="left" w:pos="1780"/>
        </w:tabs>
        <w:ind w:left="1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42FAF0">
      <w:start w:val="1"/>
      <w:numFmt w:val="bullet"/>
      <w:lvlText w:val="·"/>
      <w:lvlJc w:val="left"/>
      <w:pPr>
        <w:ind w:left="1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41C6CE4">
      <w:start w:val="1"/>
      <w:numFmt w:val="bullet"/>
      <w:lvlText w:val="·"/>
      <w:lvlJc w:val="left"/>
      <w:pPr>
        <w:tabs>
          <w:tab w:val="left" w:pos="1780"/>
        </w:tabs>
        <w:ind w:left="2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C40B4">
      <w:start w:val="1"/>
      <w:numFmt w:val="bullet"/>
      <w:lvlText w:val="·"/>
      <w:lvlJc w:val="left"/>
      <w:pPr>
        <w:tabs>
          <w:tab w:val="left" w:pos="1780"/>
        </w:tabs>
        <w:ind w:left="42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840C62">
      <w:start w:val="1"/>
      <w:numFmt w:val="bullet"/>
      <w:lvlText w:val="·"/>
      <w:lvlJc w:val="left"/>
      <w:pPr>
        <w:tabs>
          <w:tab w:val="left" w:pos="1780"/>
        </w:tabs>
        <w:ind w:left="6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B9E81E"/>
    <w:multiLevelType w:val="hybridMultilevel"/>
    <w:tmpl w:val="2754422E"/>
    <w:lvl w:ilvl="0" w:tplc="66CC05B8">
      <w:start w:val="1"/>
      <w:numFmt w:val="decimal"/>
      <w:lvlText w:val="%1."/>
      <w:lvlJc w:val="left"/>
      <w:pPr>
        <w:ind w:left="720" w:hanging="360"/>
      </w:pPr>
    </w:lvl>
    <w:lvl w:ilvl="1" w:tplc="B2D293E6">
      <w:start w:val="1"/>
      <w:numFmt w:val="lowerLetter"/>
      <w:lvlText w:val="%2."/>
      <w:lvlJc w:val="left"/>
      <w:pPr>
        <w:ind w:left="1440" w:hanging="360"/>
      </w:pPr>
    </w:lvl>
    <w:lvl w:ilvl="2" w:tplc="5456CC6E">
      <w:start w:val="1"/>
      <w:numFmt w:val="lowerRoman"/>
      <w:lvlText w:val="%3."/>
      <w:lvlJc w:val="right"/>
      <w:pPr>
        <w:ind w:left="2160" w:hanging="180"/>
      </w:pPr>
    </w:lvl>
    <w:lvl w:ilvl="3" w:tplc="3E826802">
      <w:start w:val="1"/>
      <w:numFmt w:val="decimal"/>
      <w:lvlText w:val="%4."/>
      <w:lvlJc w:val="left"/>
      <w:pPr>
        <w:ind w:left="2880" w:hanging="360"/>
      </w:pPr>
    </w:lvl>
    <w:lvl w:ilvl="4" w:tplc="72801512">
      <w:start w:val="1"/>
      <w:numFmt w:val="lowerLetter"/>
      <w:lvlText w:val="%5."/>
      <w:lvlJc w:val="left"/>
      <w:pPr>
        <w:ind w:left="3600" w:hanging="360"/>
      </w:pPr>
    </w:lvl>
    <w:lvl w:ilvl="5" w:tplc="AA1EC5F8">
      <w:start w:val="1"/>
      <w:numFmt w:val="lowerRoman"/>
      <w:lvlText w:val="%6."/>
      <w:lvlJc w:val="right"/>
      <w:pPr>
        <w:ind w:left="4320" w:hanging="180"/>
      </w:pPr>
    </w:lvl>
    <w:lvl w:ilvl="6" w:tplc="6DC46D96">
      <w:start w:val="1"/>
      <w:numFmt w:val="decimal"/>
      <w:lvlText w:val="%7."/>
      <w:lvlJc w:val="left"/>
      <w:pPr>
        <w:ind w:left="5040" w:hanging="360"/>
      </w:pPr>
    </w:lvl>
    <w:lvl w:ilvl="7" w:tplc="7ED40C2A">
      <w:start w:val="1"/>
      <w:numFmt w:val="lowerLetter"/>
      <w:lvlText w:val="%8."/>
      <w:lvlJc w:val="left"/>
      <w:pPr>
        <w:ind w:left="5760" w:hanging="360"/>
      </w:pPr>
    </w:lvl>
    <w:lvl w:ilvl="8" w:tplc="EFF63F54">
      <w:start w:val="1"/>
      <w:numFmt w:val="lowerRoman"/>
      <w:lvlText w:val="%9."/>
      <w:lvlJc w:val="right"/>
      <w:pPr>
        <w:ind w:left="6480" w:hanging="180"/>
      </w:pPr>
    </w:lvl>
  </w:abstractNum>
  <w:abstractNum w:abstractNumId="16" w15:restartNumberingAfterBreak="0">
    <w:nsid w:val="38C24041"/>
    <w:multiLevelType w:val="hybridMultilevel"/>
    <w:tmpl w:val="C8C6E340"/>
    <w:styleLink w:val="ImportedStyle6"/>
    <w:lvl w:ilvl="0" w:tplc="D124E48E">
      <w:start w:val="1"/>
      <w:numFmt w:val="lowerLetter"/>
      <w:lvlText w:val="%1."/>
      <w:lvlJc w:val="left"/>
      <w:pPr>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E0AC6C">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5AC2C8">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74B630">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D08072">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540D0E">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761DF0">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02E04A2">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DE5776">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2B04E7"/>
    <w:multiLevelType w:val="hybridMultilevel"/>
    <w:tmpl w:val="7B98F42A"/>
    <w:styleLink w:val="ImportedStyle12"/>
    <w:lvl w:ilvl="0" w:tplc="B86A713E">
      <w:start w:val="1"/>
      <w:numFmt w:val="lowerLetter"/>
      <w:lvlText w:val="%1."/>
      <w:lvlJc w:val="left"/>
      <w:pPr>
        <w:ind w:left="1800"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EE8151A">
      <w:start w:val="1"/>
      <w:numFmt w:val="lowerLetter"/>
      <w:lvlText w:val="%2."/>
      <w:lvlJc w:val="left"/>
      <w:pPr>
        <w:ind w:left="9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B1AD648">
      <w:start w:val="1"/>
      <w:numFmt w:val="lowerLetter"/>
      <w:lvlText w:val="%3."/>
      <w:lvlJc w:val="left"/>
      <w:pPr>
        <w:ind w:left="170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EEEA4E0">
      <w:start w:val="1"/>
      <w:numFmt w:val="lowerLetter"/>
      <w:lvlText w:val="%4."/>
      <w:lvlJc w:val="left"/>
      <w:pPr>
        <w:ind w:left="242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6D60AE0">
      <w:start w:val="1"/>
      <w:numFmt w:val="lowerLetter"/>
      <w:lvlText w:val="%5."/>
      <w:lvlJc w:val="left"/>
      <w:pPr>
        <w:ind w:left="314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8702778">
      <w:start w:val="1"/>
      <w:numFmt w:val="lowerLetter"/>
      <w:lvlText w:val="%6."/>
      <w:lvlJc w:val="left"/>
      <w:pPr>
        <w:ind w:left="386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2C0270A">
      <w:start w:val="1"/>
      <w:numFmt w:val="lowerLetter"/>
      <w:lvlText w:val="%7."/>
      <w:lvlJc w:val="left"/>
      <w:pPr>
        <w:ind w:left="458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6B40FEE">
      <w:start w:val="1"/>
      <w:numFmt w:val="lowerLetter"/>
      <w:lvlText w:val="%8."/>
      <w:lvlJc w:val="left"/>
      <w:pPr>
        <w:ind w:left="530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488E40A">
      <w:start w:val="1"/>
      <w:numFmt w:val="lowerLetter"/>
      <w:lvlText w:val="%9."/>
      <w:lvlJc w:val="left"/>
      <w:pPr>
        <w:ind w:left="6024" w:hanging="26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8" w15:restartNumberingAfterBreak="0">
    <w:nsid w:val="3DBE22B3"/>
    <w:multiLevelType w:val="hybridMultilevel"/>
    <w:tmpl w:val="118C79E4"/>
    <w:numStyleLink w:val="ImportedStyle1"/>
  </w:abstractNum>
  <w:abstractNum w:abstractNumId="19" w15:restartNumberingAfterBreak="0">
    <w:nsid w:val="44A92936"/>
    <w:multiLevelType w:val="hybridMultilevel"/>
    <w:tmpl w:val="6CBCC704"/>
    <w:lvl w:ilvl="0" w:tplc="623871E6">
      <w:start w:val="1"/>
      <w:numFmt w:val="decimal"/>
      <w:lvlText w:val="%1."/>
      <w:lvlJc w:val="left"/>
      <w:pPr>
        <w:ind w:left="1440" w:hanging="360"/>
      </w:pPr>
    </w:lvl>
    <w:lvl w:ilvl="1" w:tplc="E4E0E6F4">
      <w:start w:val="1"/>
      <w:numFmt w:val="lowerLetter"/>
      <w:lvlText w:val="%2."/>
      <w:lvlJc w:val="left"/>
      <w:pPr>
        <w:ind w:left="2160" w:hanging="360"/>
      </w:pPr>
    </w:lvl>
    <w:lvl w:ilvl="2" w:tplc="B57E4020">
      <w:start w:val="1"/>
      <w:numFmt w:val="lowerRoman"/>
      <w:lvlText w:val="%3."/>
      <w:lvlJc w:val="right"/>
      <w:pPr>
        <w:ind w:left="2880" w:hanging="180"/>
      </w:pPr>
    </w:lvl>
    <w:lvl w:ilvl="3" w:tplc="8034DD4C">
      <w:start w:val="1"/>
      <w:numFmt w:val="decimal"/>
      <w:lvlText w:val="%4."/>
      <w:lvlJc w:val="left"/>
      <w:pPr>
        <w:ind w:left="3600" w:hanging="360"/>
      </w:pPr>
    </w:lvl>
    <w:lvl w:ilvl="4" w:tplc="39281290">
      <w:start w:val="1"/>
      <w:numFmt w:val="lowerLetter"/>
      <w:lvlText w:val="%5."/>
      <w:lvlJc w:val="left"/>
      <w:pPr>
        <w:ind w:left="4320" w:hanging="360"/>
      </w:pPr>
    </w:lvl>
    <w:lvl w:ilvl="5" w:tplc="888A952C">
      <w:start w:val="1"/>
      <w:numFmt w:val="lowerRoman"/>
      <w:lvlText w:val="%6."/>
      <w:lvlJc w:val="right"/>
      <w:pPr>
        <w:ind w:left="5040" w:hanging="180"/>
      </w:pPr>
    </w:lvl>
    <w:lvl w:ilvl="6" w:tplc="291C59F4">
      <w:start w:val="1"/>
      <w:numFmt w:val="decimal"/>
      <w:lvlText w:val="%7."/>
      <w:lvlJc w:val="left"/>
      <w:pPr>
        <w:ind w:left="5760" w:hanging="360"/>
      </w:pPr>
    </w:lvl>
    <w:lvl w:ilvl="7" w:tplc="5428E314">
      <w:start w:val="1"/>
      <w:numFmt w:val="lowerLetter"/>
      <w:lvlText w:val="%8."/>
      <w:lvlJc w:val="left"/>
      <w:pPr>
        <w:ind w:left="6480" w:hanging="360"/>
      </w:pPr>
    </w:lvl>
    <w:lvl w:ilvl="8" w:tplc="15884522">
      <w:start w:val="1"/>
      <w:numFmt w:val="lowerRoman"/>
      <w:lvlText w:val="%9."/>
      <w:lvlJc w:val="right"/>
      <w:pPr>
        <w:ind w:left="7200" w:hanging="180"/>
      </w:pPr>
    </w:lvl>
  </w:abstractNum>
  <w:abstractNum w:abstractNumId="20" w15:restartNumberingAfterBreak="0">
    <w:nsid w:val="46C3E671"/>
    <w:multiLevelType w:val="hybridMultilevel"/>
    <w:tmpl w:val="8F32070A"/>
    <w:lvl w:ilvl="0" w:tplc="6DEEE29E">
      <w:start w:val="1"/>
      <w:numFmt w:val="lowerLetter"/>
      <w:lvlText w:val="%1."/>
      <w:lvlJc w:val="left"/>
      <w:pPr>
        <w:ind w:left="1440" w:hanging="360"/>
      </w:pPr>
    </w:lvl>
    <w:lvl w:ilvl="1" w:tplc="831C3100">
      <w:start w:val="1"/>
      <w:numFmt w:val="lowerLetter"/>
      <w:lvlText w:val="%2."/>
      <w:lvlJc w:val="left"/>
      <w:pPr>
        <w:ind w:left="2160" w:hanging="360"/>
      </w:pPr>
    </w:lvl>
    <w:lvl w:ilvl="2" w:tplc="34CE21F2">
      <w:start w:val="1"/>
      <w:numFmt w:val="lowerRoman"/>
      <w:lvlText w:val="%3."/>
      <w:lvlJc w:val="right"/>
      <w:pPr>
        <w:ind w:left="2880" w:hanging="180"/>
      </w:pPr>
    </w:lvl>
    <w:lvl w:ilvl="3" w:tplc="9FEA3F4C">
      <w:start w:val="1"/>
      <w:numFmt w:val="decimal"/>
      <w:lvlText w:val="%4."/>
      <w:lvlJc w:val="left"/>
      <w:pPr>
        <w:ind w:left="3600" w:hanging="360"/>
      </w:pPr>
    </w:lvl>
    <w:lvl w:ilvl="4" w:tplc="D9369266">
      <w:start w:val="1"/>
      <w:numFmt w:val="lowerLetter"/>
      <w:lvlText w:val="%5."/>
      <w:lvlJc w:val="left"/>
      <w:pPr>
        <w:ind w:left="4320" w:hanging="360"/>
      </w:pPr>
    </w:lvl>
    <w:lvl w:ilvl="5" w:tplc="F7B2FF74">
      <w:start w:val="1"/>
      <w:numFmt w:val="lowerRoman"/>
      <w:lvlText w:val="%6."/>
      <w:lvlJc w:val="right"/>
      <w:pPr>
        <w:ind w:left="5040" w:hanging="180"/>
      </w:pPr>
    </w:lvl>
    <w:lvl w:ilvl="6" w:tplc="8C5E8D50">
      <w:start w:val="1"/>
      <w:numFmt w:val="decimal"/>
      <w:lvlText w:val="%7."/>
      <w:lvlJc w:val="left"/>
      <w:pPr>
        <w:ind w:left="5760" w:hanging="360"/>
      </w:pPr>
    </w:lvl>
    <w:lvl w:ilvl="7" w:tplc="C0E0E5F8">
      <w:start w:val="1"/>
      <w:numFmt w:val="lowerLetter"/>
      <w:lvlText w:val="%8."/>
      <w:lvlJc w:val="left"/>
      <w:pPr>
        <w:ind w:left="6480" w:hanging="360"/>
      </w:pPr>
    </w:lvl>
    <w:lvl w:ilvl="8" w:tplc="E9063256">
      <w:start w:val="1"/>
      <w:numFmt w:val="lowerRoman"/>
      <w:lvlText w:val="%9."/>
      <w:lvlJc w:val="right"/>
      <w:pPr>
        <w:ind w:left="7200" w:hanging="180"/>
      </w:pPr>
    </w:lvl>
  </w:abstractNum>
  <w:abstractNum w:abstractNumId="21" w15:restartNumberingAfterBreak="0">
    <w:nsid w:val="48D9D45C"/>
    <w:multiLevelType w:val="hybridMultilevel"/>
    <w:tmpl w:val="627A43B4"/>
    <w:lvl w:ilvl="0" w:tplc="B41C2826">
      <w:start w:val="1"/>
      <w:numFmt w:val="decimal"/>
      <w:lvlText w:val="%1."/>
      <w:lvlJc w:val="left"/>
      <w:pPr>
        <w:ind w:left="1080" w:hanging="360"/>
      </w:pPr>
    </w:lvl>
    <w:lvl w:ilvl="1" w:tplc="7FF8C9E4">
      <w:start w:val="1"/>
      <w:numFmt w:val="lowerLetter"/>
      <w:lvlText w:val="%2."/>
      <w:lvlJc w:val="left"/>
      <w:pPr>
        <w:ind w:left="1800" w:hanging="360"/>
      </w:pPr>
    </w:lvl>
    <w:lvl w:ilvl="2" w:tplc="A9243570">
      <w:start w:val="1"/>
      <w:numFmt w:val="lowerRoman"/>
      <w:lvlText w:val="%3."/>
      <w:lvlJc w:val="right"/>
      <w:pPr>
        <w:ind w:left="2520" w:hanging="180"/>
      </w:pPr>
    </w:lvl>
    <w:lvl w:ilvl="3" w:tplc="86E8E40E">
      <w:start w:val="1"/>
      <w:numFmt w:val="decimal"/>
      <w:lvlText w:val="%4."/>
      <w:lvlJc w:val="left"/>
      <w:pPr>
        <w:ind w:left="3240" w:hanging="360"/>
      </w:pPr>
    </w:lvl>
    <w:lvl w:ilvl="4" w:tplc="98F22038">
      <w:start w:val="1"/>
      <w:numFmt w:val="lowerLetter"/>
      <w:lvlText w:val="%5."/>
      <w:lvlJc w:val="left"/>
      <w:pPr>
        <w:ind w:left="3960" w:hanging="360"/>
      </w:pPr>
    </w:lvl>
    <w:lvl w:ilvl="5" w:tplc="83D4F788">
      <w:start w:val="1"/>
      <w:numFmt w:val="lowerRoman"/>
      <w:lvlText w:val="%6."/>
      <w:lvlJc w:val="right"/>
      <w:pPr>
        <w:ind w:left="4680" w:hanging="180"/>
      </w:pPr>
    </w:lvl>
    <w:lvl w:ilvl="6" w:tplc="E6C0E0C0">
      <w:start w:val="1"/>
      <w:numFmt w:val="decimal"/>
      <w:lvlText w:val="%7."/>
      <w:lvlJc w:val="left"/>
      <w:pPr>
        <w:ind w:left="5400" w:hanging="360"/>
      </w:pPr>
    </w:lvl>
    <w:lvl w:ilvl="7" w:tplc="D0A4B8CC">
      <w:start w:val="1"/>
      <w:numFmt w:val="lowerLetter"/>
      <w:lvlText w:val="%8."/>
      <w:lvlJc w:val="left"/>
      <w:pPr>
        <w:ind w:left="6120" w:hanging="360"/>
      </w:pPr>
    </w:lvl>
    <w:lvl w:ilvl="8" w:tplc="189C6E56">
      <w:start w:val="1"/>
      <w:numFmt w:val="lowerRoman"/>
      <w:lvlText w:val="%9."/>
      <w:lvlJc w:val="right"/>
      <w:pPr>
        <w:ind w:left="6840" w:hanging="180"/>
      </w:pPr>
    </w:lvl>
  </w:abstractNum>
  <w:abstractNum w:abstractNumId="22" w15:restartNumberingAfterBreak="0">
    <w:nsid w:val="4BC1F9EE"/>
    <w:multiLevelType w:val="hybridMultilevel"/>
    <w:tmpl w:val="B58EBD88"/>
    <w:lvl w:ilvl="0" w:tplc="B0EE195C">
      <w:start w:val="1"/>
      <w:numFmt w:val="decimal"/>
      <w:lvlText w:val="%1."/>
      <w:lvlJc w:val="left"/>
      <w:pPr>
        <w:ind w:left="720" w:hanging="360"/>
      </w:pPr>
    </w:lvl>
    <w:lvl w:ilvl="1" w:tplc="203CF294">
      <w:start w:val="1"/>
      <w:numFmt w:val="lowerLetter"/>
      <w:lvlText w:val="%2."/>
      <w:lvlJc w:val="left"/>
      <w:pPr>
        <w:ind w:left="1440" w:hanging="360"/>
      </w:pPr>
    </w:lvl>
    <w:lvl w:ilvl="2" w:tplc="CCE04EA8">
      <w:start w:val="1"/>
      <w:numFmt w:val="lowerRoman"/>
      <w:lvlText w:val="%3."/>
      <w:lvlJc w:val="right"/>
      <w:pPr>
        <w:ind w:left="2160" w:hanging="180"/>
      </w:pPr>
    </w:lvl>
    <w:lvl w:ilvl="3" w:tplc="DB5CE7BE">
      <w:start w:val="1"/>
      <w:numFmt w:val="decimal"/>
      <w:lvlText w:val="%4."/>
      <w:lvlJc w:val="left"/>
      <w:pPr>
        <w:ind w:left="2880" w:hanging="360"/>
      </w:pPr>
    </w:lvl>
    <w:lvl w:ilvl="4" w:tplc="2B860E48">
      <w:start w:val="1"/>
      <w:numFmt w:val="lowerLetter"/>
      <w:lvlText w:val="%5."/>
      <w:lvlJc w:val="left"/>
      <w:pPr>
        <w:ind w:left="3600" w:hanging="360"/>
      </w:pPr>
    </w:lvl>
    <w:lvl w:ilvl="5" w:tplc="531CAD7C">
      <w:start w:val="1"/>
      <w:numFmt w:val="lowerRoman"/>
      <w:lvlText w:val="%6."/>
      <w:lvlJc w:val="right"/>
      <w:pPr>
        <w:ind w:left="4320" w:hanging="180"/>
      </w:pPr>
    </w:lvl>
    <w:lvl w:ilvl="6" w:tplc="E0084320">
      <w:start w:val="1"/>
      <w:numFmt w:val="decimal"/>
      <w:lvlText w:val="%7."/>
      <w:lvlJc w:val="left"/>
      <w:pPr>
        <w:ind w:left="5040" w:hanging="360"/>
      </w:pPr>
    </w:lvl>
    <w:lvl w:ilvl="7" w:tplc="7E0E745C">
      <w:start w:val="1"/>
      <w:numFmt w:val="lowerLetter"/>
      <w:lvlText w:val="%8."/>
      <w:lvlJc w:val="left"/>
      <w:pPr>
        <w:ind w:left="5760" w:hanging="360"/>
      </w:pPr>
    </w:lvl>
    <w:lvl w:ilvl="8" w:tplc="56A208AE">
      <w:start w:val="1"/>
      <w:numFmt w:val="lowerRoman"/>
      <w:lvlText w:val="%9."/>
      <w:lvlJc w:val="right"/>
      <w:pPr>
        <w:ind w:left="6480" w:hanging="180"/>
      </w:pPr>
    </w:lvl>
  </w:abstractNum>
  <w:abstractNum w:abstractNumId="23" w15:restartNumberingAfterBreak="0">
    <w:nsid w:val="50236D2A"/>
    <w:multiLevelType w:val="hybridMultilevel"/>
    <w:tmpl w:val="2CE01C8A"/>
    <w:styleLink w:val="ImportedStyle8"/>
    <w:lvl w:ilvl="0" w:tplc="2BD86EA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DE1E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C930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286CE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A9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74CF3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983C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839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C890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0AB9BDC"/>
    <w:multiLevelType w:val="hybridMultilevel"/>
    <w:tmpl w:val="B83EA974"/>
    <w:lvl w:ilvl="0" w:tplc="59D6E086">
      <w:start w:val="1"/>
      <w:numFmt w:val="decimal"/>
      <w:lvlText w:val="%1."/>
      <w:lvlJc w:val="left"/>
      <w:pPr>
        <w:ind w:left="1440" w:hanging="360"/>
      </w:pPr>
    </w:lvl>
    <w:lvl w:ilvl="1" w:tplc="2EA4ADA4">
      <w:start w:val="1"/>
      <w:numFmt w:val="lowerLetter"/>
      <w:lvlText w:val="%2."/>
      <w:lvlJc w:val="left"/>
      <w:pPr>
        <w:ind w:left="2160" w:hanging="360"/>
      </w:pPr>
    </w:lvl>
    <w:lvl w:ilvl="2" w:tplc="F7703A56">
      <w:start w:val="1"/>
      <w:numFmt w:val="lowerRoman"/>
      <w:lvlText w:val="%3."/>
      <w:lvlJc w:val="right"/>
      <w:pPr>
        <w:ind w:left="2880" w:hanging="180"/>
      </w:pPr>
    </w:lvl>
    <w:lvl w:ilvl="3" w:tplc="79D0A8D2">
      <w:start w:val="1"/>
      <w:numFmt w:val="decimal"/>
      <w:lvlText w:val="%4."/>
      <w:lvlJc w:val="left"/>
      <w:pPr>
        <w:ind w:left="3600" w:hanging="360"/>
      </w:pPr>
    </w:lvl>
    <w:lvl w:ilvl="4" w:tplc="0C22F692">
      <w:start w:val="1"/>
      <w:numFmt w:val="lowerLetter"/>
      <w:lvlText w:val="%5."/>
      <w:lvlJc w:val="left"/>
      <w:pPr>
        <w:ind w:left="4320" w:hanging="360"/>
      </w:pPr>
    </w:lvl>
    <w:lvl w:ilvl="5" w:tplc="C9AC4B88">
      <w:start w:val="1"/>
      <w:numFmt w:val="lowerRoman"/>
      <w:lvlText w:val="%6."/>
      <w:lvlJc w:val="right"/>
      <w:pPr>
        <w:ind w:left="5040" w:hanging="180"/>
      </w:pPr>
    </w:lvl>
    <w:lvl w:ilvl="6" w:tplc="F78431DA">
      <w:start w:val="1"/>
      <w:numFmt w:val="decimal"/>
      <w:lvlText w:val="%7."/>
      <w:lvlJc w:val="left"/>
      <w:pPr>
        <w:ind w:left="5760" w:hanging="360"/>
      </w:pPr>
    </w:lvl>
    <w:lvl w:ilvl="7" w:tplc="D010A00E">
      <w:start w:val="1"/>
      <w:numFmt w:val="lowerLetter"/>
      <w:lvlText w:val="%8."/>
      <w:lvlJc w:val="left"/>
      <w:pPr>
        <w:ind w:left="6480" w:hanging="360"/>
      </w:pPr>
    </w:lvl>
    <w:lvl w:ilvl="8" w:tplc="A89A8F68">
      <w:start w:val="1"/>
      <w:numFmt w:val="lowerRoman"/>
      <w:lvlText w:val="%9."/>
      <w:lvlJc w:val="right"/>
      <w:pPr>
        <w:ind w:left="7200" w:hanging="180"/>
      </w:pPr>
    </w:lvl>
  </w:abstractNum>
  <w:abstractNum w:abstractNumId="25" w15:restartNumberingAfterBreak="0">
    <w:nsid w:val="536291DF"/>
    <w:multiLevelType w:val="hybridMultilevel"/>
    <w:tmpl w:val="00980DC8"/>
    <w:numStyleLink w:val="ImportedStyle4"/>
  </w:abstractNum>
  <w:abstractNum w:abstractNumId="26" w15:restartNumberingAfterBreak="0">
    <w:nsid w:val="53EAFB6A"/>
    <w:multiLevelType w:val="hybridMultilevel"/>
    <w:tmpl w:val="85AEFB32"/>
    <w:lvl w:ilvl="0" w:tplc="444A4CBA">
      <w:start w:val="1"/>
      <w:numFmt w:val="bullet"/>
      <w:lvlText w:val=""/>
      <w:lvlJc w:val="left"/>
      <w:pPr>
        <w:ind w:left="1080" w:hanging="360"/>
      </w:pPr>
      <w:rPr>
        <w:rFonts w:ascii="Symbol" w:hAnsi="Symbol" w:hint="default"/>
      </w:rPr>
    </w:lvl>
    <w:lvl w:ilvl="1" w:tplc="D9D2F17A">
      <w:start w:val="1"/>
      <w:numFmt w:val="bullet"/>
      <w:lvlText w:val="o"/>
      <w:lvlJc w:val="left"/>
      <w:pPr>
        <w:ind w:left="1800" w:hanging="360"/>
      </w:pPr>
      <w:rPr>
        <w:rFonts w:ascii="Courier New" w:hAnsi="Courier New" w:hint="default"/>
      </w:rPr>
    </w:lvl>
    <w:lvl w:ilvl="2" w:tplc="6174093E">
      <w:start w:val="1"/>
      <w:numFmt w:val="bullet"/>
      <w:lvlText w:val=""/>
      <w:lvlJc w:val="left"/>
      <w:pPr>
        <w:ind w:left="2520" w:hanging="360"/>
      </w:pPr>
      <w:rPr>
        <w:rFonts w:ascii="Wingdings" w:hAnsi="Wingdings" w:hint="default"/>
      </w:rPr>
    </w:lvl>
    <w:lvl w:ilvl="3" w:tplc="DB54A0A4">
      <w:start w:val="1"/>
      <w:numFmt w:val="bullet"/>
      <w:lvlText w:val=""/>
      <w:lvlJc w:val="left"/>
      <w:pPr>
        <w:ind w:left="3240" w:hanging="360"/>
      </w:pPr>
      <w:rPr>
        <w:rFonts w:ascii="Symbol" w:hAnsi="Symbol" w:hint="default"/>
      </w:rPr>
    </w:lvl>
    <w:lvl w:ilvl="4" w:tplc="2C6EE336">
      <w:start w:val="1"/>
      <w:numFmt w:val="bullet"/>
      <w:lvlText w:val="o"/>
      <w:lvlJc w:val="left"/>
      <w:pPr>
        <w:ind w:left="3960" w:hanging="360"/>
      </w:pPr>
      <w:rPr>
        <w:rFonts w:ascii="Courier New" w:hAnsi="Courier New" w:hint="default"/>
      </w:rPr>
    </w:lvl>
    <w:lvl w:ilvl="5" w:tplc="4BFC5EEA">
      <w:start w:val="1"/>
      <w:numFmt w:val="bullet"/>
      <w:lvlText w:val=""/>
      <w:lvlJc w:val="left"/>
      <w:pPr>
        <w:ind w:left="4680" w:hanging="360"/>
      </w:pPr>
      <w:rPr>
        <w:rFonts w:ascii="Wingdings" w:hAnsi="Wingdings" w:hint="default"/>
      </w:rPr>
    </w:lvl>
    <w:lvl w:ilvl="6" w:tplc="AFCEDCAA">
      <w:start w:val="1"/>
      <w:numFmt w:val="bullet"/>
      <w:lvlText w:val=""/>
      <w:lvlJc w:val="left"/>
      <w:pPr>
        <w:ind w:left="5400" w:hanging="360"/>
      </w:pPr>
      <w:rPr>
        <w:rFonts w:ascii="Symbol" w:hAnsi="Symbol" w:hint="default"/>
      </w:rPr>
    </w:lvl>
    <w:lvl w:ilvl="7" w:tplc="208E2814">
      <w:start w:val="1"/>
      <w:numFmt w:val="bullet"/>
      <w:lvlText w:val="o"/>
      <w:lvlJc w:val="left"/>
      <w:pPr>
        <w:ind w:left="6120" w:hanging="360"/>
      </w:pPr>
      <w:rPr>
        <w:rFonts w:ascii="Courier New" w:hAnsi="Courier New" w:hint="default"/>
      </w:rPr>
    </w:lvl>
    <w:lvl w:ilvl="8" w:tplc="CE8452E2">
      <w:start w:val="1"/>
      <w:numFmt w:val="bullet"/>
      <w:lvlText w:val=""/>
      <w:lvlJc w:val="left"/>
      <w:pPr>
        <w:ind w:left="6840" w:hanging="360"/>
      </w:pPr>
      <w:rPr>
        <w:rFonts w:ascii="Wingdings" w:hAnsi="Wingdings" w:hint="default"/>
      </w:rPr>
    </w:lvl>
  </w:abstractNum>
  <w:abstractNum w:abstractNumId="27" w15:restartNumberingAfterBreak="0">
    <w:nsid w:val="57E1887A"/>
    <w:multiLevelType w:val="hybridMultilevel"/>
    <w:tmpl w:val="B6E88E18"/>
    <w:numStyleLink w:val="ImportedStyle10"/>
  </w:abstractNum>
  <w:abstractNum w:abstractNumId="28" w15:restartNumberingAfterBreak="0">
    <w:nsid w:val="5B567476"/>
    <w:multiLevelType w:val="hybridMultilevel"/>
    <w:tmpl w:val="379242DA"/>
    <w:styleLink w:val="ImportedStyle7"/>
    <w:lvl w:ilvl="0" w:tplc="04AC81F2">
      <w:start w:val="1"/>
      <w:numFmt w:val="upperRoman"/>
      <w:lvlText w:val="%1."/>
      <w:lvlJc w:val="left"/>
      <w:pPr>
        <w:tabs>
          <w:tab w:val="num" w:pos="810"/>
        </w:tabs>
        <w:ind w:left="1276" w:hanging="10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20B59A">
      <w:start w:val="1"/>
      <w:numFmt w:val="decimal"/>
      <w:lvlText w:val="%2."/>
      <w:lvlJc w:val="left"/>
      <w:pPr>
        <w:ind w:left="162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F0308E">
      <w:start w:val="1"/>
      <w:numFmt w:val="decimal"/>
      <w:lvlText w:val="%3."/>
      <w:lvlJc w:val="left"/>
      <w:pPr>
        <w:ind w:left="27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1D6A42C">
      <w:start w:val="1"/>
      <w:numFmt w:val="decimal"/>
      <w:lvlText w:val="%4."/>
      <w:lvlJc w:val="left"/>
      <w:pPr>
        <w:ind w:left="396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3E2F12">
      <w:start w:val="1"/>
      <w:numFmt w:val="decimal"/>
      <w:lvlText w:val="%5."/>
      <w:lvlJc w:val="left"/>
      <w:pPr>
        <w:ind w:left="5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D07BD4">
      <w:start w:val="1"/>
      <w:numFmt w:val="decimal"/>
      <w:lvlText w:val="%6."/>
      <w:lvlJc w:val="left"/>
      <w:pPr>
        <w:ind w:left="630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D8AFD0">
      <w:start w:val="1"/>
      <w:numFmt w:val="decimal"/>
      <w:lvlText w:val="%7."/>
      <w:lvlJc w:val="left"/>
      <w:pPr>
        <w:ind w:left="74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36B572">
      <w:start w:val="1"/>
      <w:numFmt w:val="decimal"/>
      <w:lvlText w:val="%8."/>
      <w:lvlJc w:val="left"/>
      <w:pPr>
        <w:ind w:left="864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C80032">
      <w:start w:val="1"/>
      <w:numFmt w:val="decimal"/>
      <w:lvlText w:val="%9."/>
      <w:lvlJc w:val="left"/>
      <w:pPr>
        <w:ind w:left="9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0E50E2"/>
    <w:multiLevelType w:val="hybridMultilevel"/>
    <w:tmpl w:val="FE0CC3E2"/>
    <w:styleLink w:val="ImportedStyle5"/>
    <w:lvl w:ilvl="0" w:tplc="709A272C">
      <w:start w:val="1"/>
      <w:numFmt w:val="lowerLetter"/>
      <w:lvlText w:val="%1."/>
      <w:lvlJc w:val="left"/>
      <w:pPr>
        <w:ind w:left="12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167F1A">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C60E2C">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44C99C">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B44AA6">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58A50A">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4E0800">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ABCB4EA">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5ED0C4">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0E2468"/>
    <w:multiLevelType w:val="hybridMultilevel"/>
    <w:tmpl w:val="BF78F320"/>
    <w:numStyleLink w:val="ImportedStyle40"/>
  </w:abstractNum>
  <w:abstractNum w:abstractNumId="31" w15:restartNumberingAfterBreak="0">
    <w:nsid w:val="68E506EF"/>
    <w:multiLevelType w:val="hybridMultilevel"/>
    <w:tmpl w:val="5F70B00E"/>
    <w:numStyleLink w:val="ImportedStyle13"/>
  </w:abstractNum>
  <w:abstractNum w:abstractNumId="32" w15:restartNumberingAfterBreak="0">
    <w:nsid w:val="74359D83"/>
    <w:multiLevelType w:val="hybridMultilevel"/>
    <w:tmpl w:val="208023C0"/>
    <w:lvl w:ilvl="0" w:tplc="CD18B94A">
      <w:start w:val="1"/>
      <w:numFmt w:val="decimal"/>
      <w:lvlText w:val="%1."/>
      <w:lvlJc w:val="left"/>
      <w:pPr>
        <w:ind w:left="720" w:hanging="360"/>
      </w:pPr>
    </w:lvl>
    <w:lvl w:ilvl="1" w:tplc="D3D64842">
      <w:start w:val="1"/>
      <w:numFmt w:val="lowerLetter"/>
      <w:lvlText w:val="%2."/>
      <w:lvlJc w:val="left"/>
      <w:pPr>
        <w:ind w:left="1440" w:hanging="360"/>
      </w:pPr>
    </w:lvl>
    <w:lvl w:ilvl="2" w:tplc="799499EA">
      <w:start w:val="1"/>
      <w:numFmt w:val="lowerRoman"/>
      <w:lvlText w:val="%3."/>
      <w:lvlJc w:val="right"/>
      <w:pPr>
        <w:ind w:left="2160" w:hanging="180"/>
      </w:pPr>
    </w:lvl>
    <w:lvl w:ilvl="3" w:tplc="19C6375E">
      <w:start w:val="1"/>
      <w:numFmt w:val="decimal"/>
      <w:lvlText w:val="%4."/>
      <w:lvlJc w:val="left"/>
      <w:pPr>
        <w:ind w:left="2880" w:hanging="360"/>
      </w:pPr>
    </w:lvl>
    <w:lvl w:ilvl="4" w:tplc="8184131C">
      <w:start w:val="1"/>
      <w:numFmt w:val="lowerLetter"/>
      <w:lvlText w:val="%5."/>
      <w:lvlJc w:val="left"/>
      <w:pPr>
        <w:ind w:left="3600" w:hanging="360"/>
      </w:pPr>
    </w:lvl>
    <w:lvl w:ilvl="5" w:tplc="75EC396E">
      <w:start w:val="1"/>
      <w:numFmt w:val="lowerRoman"/>
      <w:lvlText w:val="%6."/>
      <w:lvlJc w:val="right"/>
      <w:pPr>
        <w:ind w:left="4320" w:hanging="180"/>
      </w:pPr>
    </w:lvl>
    <w:lvl w:ilvl="6" w:tplc="9A22ABFE">
      <w:start w:val="1"/>
      <w:numFmt w:val="decimal"/>
      <w:lvlText w:val="%7."/>
      <w:lvlJc w:val="left"/>
      <w:pPr>
        <w:ind w:left="5040" w:hanging="360"/>
      </w:pPr>
    </w:lvl>
    <w:lvl w:ilvl="7" w:tplc="D7789728">
      <w:start w:val="1"/>
      <w:numFmt w:val="lowerLetter"/>
      <w:lvlText w:val="%8."/>
      <w:lvlJc w:val="left"/>
      <w:pPr>
        <w:ind w:left="5760" w:hanging="360"/>
      </w:pPr>
    </w:lvl>
    <w:lvl w:ilvl="8" w:tplc="794830B8">
      <w:start w:val="1"/>
      <w:numFmt w:val="lowerRoman"/>
      <w:lvlText w:val="%9."/>
      <w:lvlJc w:val="right"/>
      <w:pPr>
        <w:ind w:left="6480" w:hanging="180"/>
      </w:pPr>
    </w:lvl>
  </w:abstractNum>
  <w:abstractNum w:abstractNumId="33" w15:restartNumberingAfterBreak="0">
    <w:nsid w:val="777ACA85"/>
    <w:multiLevelType w:val="hybridMultilevel"/>
    <w:tmpl w:val="EDC0A43C"/>
    <w:lvl w:ilvl="0" w:tplc="FB2A4196">
      <w:start w:val="1"/>
      <w:numFmt w:val="lowerLetter"/>
      <w:lvlText w:val="%1."/>
      <w:lvlJc w:val="left"/>
      <w:pPr>
        <w:ind w:left="1440" w:hanging="360"/>
      </w:pPr>
    </w:lvl>
    <w:lvl w:ilvl="1" w:tplc="8FECBE04">
      <w:start w:val="1"/>
      <w:numFmt w:val="lowerLetter"/>
      <w:lvlText w:val="%2."/>
      <w:lvlJc w:val="left"/>
      <w:pPr>
        <w:ind w:left="2160" w:hanging="360"/>
      </w:pPr>
    </w:lvl>
    <w:lvl w:ilvl="2" w:tplc="55C4A812">
      <w:start w:val="1"/>
      <w:numFmt w:val="lowerRoman"/>
      <w:lvlText w:val="%3."/>
      <w:lvlJc w:val="right"/>
      <w:pPr>
        <w:ind w:left="2880" w:hanging="180"/>
      </w:pPr>
    </w:lvl>
    <w:lvl w:ilvl="3" w:tplc="384E7AB2">
      <w:start w:val="1"/>
      <w:numFmt w:val="decimal"/>
      <w:lvlText w:val="%4."/>
      <w:lvlJc w:val="left"/>
      <w:pPr>
        <w:ind w:left="3600" w:hanging="360"/>
      </w:pPr>
    </w:lvl>
    <w:lvl w:ilvl="4" w:tplc="90FEE7C8">
      <w:start w:val="1"/>
      <w:numFmt w:val="lowerLetter"/>
      <w:lvlText w:val="%5."/>
      <w:lvlJc w:val="left"/>
      <w:pPr>
        <w:ind w:left="4320" w:hanging="360"/>
      </w:pPr>
    </w:lvl>
    <w:lvl w:ilvl="5" w:tplc="98DCA020">
      <w:start w:val="1"/>
      <w:numFmt w:val="lowerRoman"/>
      <w:lvlText w:val="%6."/>
      <w:lvlJc w:val="right"/>
      <w:pPr>
        <w:ind w:left="5040" w:hanging="180"/>
      </w:pPr>
    </w:lvl>
    <w:lvl w:ilvl="6" w:tplc="75361C04">
      <w:start w:val="1"/>
      <w:numFmt w:val="decimal"/>
      <w:lvlText w:val="%7."/>
      <w:lvlJc w:val="left"/>
      <w:pPr>
        <w:ind w:left="5760" w:hanging="360"/>
      </w:pPr>
    </w:lvl>
    <w:lvl w:ilvl="7" w:tplc="4944417E">
      <w:start w:val="1"/>
      <w:numFmt w:val="lowerLetter"/>
      <w:lvlText w:val="%8."/>
      <w:lvlJc w:val="left"/>
      <w:pPr>
        <w:ind w:left="6480" w:hanging="360"/>
      </w:pPr>
    </w:lvl>
    <w:lvl w:ilvl="8" w:tplc="08180564">
      <w:start w:val="1"/>
      <w:numFmt w:val="lowerRoman"/>
      <w:lvlText w:val="%9."/>
      <w:lvlJc w:val="right"/>
      <w:pPr>
        <w:ind w:left="7200" w:hanging="180"/>
      </w:pPr>
    </w:lvl>
  </w:abstractNum>
  <w:abstractNum w:abstractNumId="34" w15:restartNumberingAfterBreak="0">
    <w:nsid w:val="7C9D300B"/>
    <w:multiLevelType w:val="hybridMultilevel"/>
    <w:tmpl w:val="9DC635E0"/>
    <w:lvl w:ilvl="0" w:tplc="4642BCD8">
      <w:start w:val="1"/>
      <w:numFmt w:val="lowerLetter"/>
      <w:lvlText w:val="%1."/>
      <w:lvlJc w:val="left"/>
      <w:pPr>
        <w:ind w:left="1440" w:hanging="360"/>
      </w:pPr>
    </w:lvl>
    <w:lvl w:ilvl="1" w:tplc="4A6C9C6E">
      <w:start w:val="1"/>
      <w:numFmt w:val="lowerLetter"/>
      <w:lvlText w:val="%2."/>
      <w:lvlJc w:val="left"/>
      <w:pPr>
        <w:ind w:left="2160" w:hanging="360"/>
      </w:pPr>
    </w:lvl>
    <w:lvl w:ilvl="2" w:tplc="AF9C88B2">
      <w:start w:val="1"/>
      <w:numFmt w:val="lowerRoman"/>
      <w:lvlText w:val="%3."/>
      <w:lvlJc w:val="right"/>
      <w:pPr>
        <w:ind w:left="2880" w:hanging="180"/>
      </w:pPr>
    </w:lvl>
    <w:lvl w:ilvl="3" w:tplc="A4028AD4">
      <w:start w:val="1"/>
      <w:numFmt w:val="decimal"/>
      <w:lvlText w:val="%4."/>
      <w:lvlJc w:val="left"/>
      <w:pPr>
        <w:ind w:left="3600" w:hanging="360"/>
      </w:pPr>
    </w:lvl>
    <w:lvl w:ilvl="4" w:tplc="8370F458">
      <w:start w:val="1"/>
      <w:numFmt w:val="lowerLetter"/>
      <w:lvlText w:val="%5."/>
      <w:lvlJc w:val="left"/>
      <w:pPr>
        <w:ind w:left="4320" w:hanging="360"/>
      </w:pPr>
    </w:lvl>
    <w:lvl w:ilvl="5" w:tplc="69F8D0B2">
      <w:start w:val="1"/>
      <w:numFmt w:val="lowerRoman"/>
      <w:lvlText w:val="%6."/>
      <w:lvlJc w:val="right"/>
      <w:pPr>
        <w:ind w:left="5040" w:hanging="180"/>
      </w:pPr>
    </w:lvl>
    <w:lvl w:ilvl="6" w:tplc="CE94AF24">
      <w:start w:val="1"/>
      <w:numFmt w:val="decimal"/>
      <w:lvlText w:val="%7."/>
      <w:lvlJc w:val="left"/>
      <w:pPr>
        <w:ind w:left="5760" w:hanging="360"/>
      </w:pPr>
    </w:lvl>
    <w:lvl w:ilvl="7" w:tplc="641634CC">
      <w:start w:val="1"/>
      <w:numFmt w:val="lowerLetter"/>
      <w:lvlText w:val="%8."/>
      <w:lvlJc w:val="left"/>
      <w:pPr>
        <w:ind w:left="6480" w:hanging="360"/>
      </w:pPr>
    </w:lvl>
    <w:lvl w:ilvl="8" w:tplc="D1C6557A">
      <w:start w:val="1"/>
      <w:numFmt w:val="lowerRoman"/>
      <w:lvlText w:val="%9."/>
      <w:lvlJc w:val="right"/>
      <w:pPr>
        <w:ind w:left="7200" w:hanging="180"/>
      </w:pPr>
    </w:lvl>
  </w:abstractNum>
  <w:num w:numId="1" w16cid:durableId="61681533">
    <w:abstractNumId w:val="33"/>
  </w:num>
  <w:num w:numId="2" w16cid:durableId="1384210549">
    <w:abstractNumId w:val="3"/>
  </w:num>
  <w:num w:numId="3" w16cid:durableId="498008142">
    <w:abstractNumId w:val="32"/>
  </w:num>
  <w:num w:numId="4" w16cid:durableId="655304829">
    <w:abstractNumId w:val="21"/>
  </w:num>
  <w:num w:numId="5" w16cid:durableId="1668823635">
    <w:abstractNumId w:val="15"/>
  </w:num>
  <w:num w:numId="6" w16cid:durableId="841310632">
    <w:abstractNumId w:val="19"/>
  </w:num>
  <w:num w:numId="7" w16cid:durableId="1911963940">
    <w:abstractNumId w:val="24"/>
  </w:num>
  <w:num w:numId="8" w16cid:durableId="1228952516">
    <w:abstractNumId w:val="9"/>
  </w:num>
  <w:num w:numId="9" w16cid:durableId="1696997459">
    <w:abstractNumId w:val="34"/>
  </w:num>
  <w:num w:numId="10" w16cid:durableId="1350570007">
    <w:abstractNumId w:val="20"/>
  </w:num>
  <w:num w:numId="11" w16cid:durableId="371535178">
    <w:abstractNumId w:val="2"/>
  </w:num>
  <w:num w:numId="12" w16cid:durableId="1546715726">
    <w:abstractNumId w:val="26"/>
  </w:num>
  <w:num w:numId="13" w16cid:durableId="162597227">
    <w:abstractNumId w:val="22"/>
  </w:num>
  <w:num w:numId="14" w16cid:durableId="1215003769">
    <w:abstractNumId w:val="6"/>
  </w:num>
  <w:num w:numId="15" w16cid:durableId="359431131">
    <w:abstractNumId w:val="18"/>
  </w:num>
  <w:num w:numId="16" w16cid:durableId="899246401">
    <w:abstractNumId w:val="8"/>
  </w:num>
  <w:num w:numId="17" w16cid:durableId="1228877230">
    <w:abstractNumId w:val="14"/>
  </w:num>
  <w:num w:numId="18" w16cid:durableId="1738169976">
    <w:abstractNumId w:val="1"/>
  </w:num>
  <w:num w:numId="19" w16cid:durableId="1536118542">
    <w:abstractNumId w:val="25"/>
  </w:num>
  <w:num w:numId="20" w16cid:durableId="271015379">
    <w:abstractNumId w:val="4"/>
  </w:num>
  <w:num w:numId="21" w16cid:durableId="1436290879">
    <w:abstractNumId w:val="30"/>
  </w:num>
  <w:num w:numId="22" w16cid:durableId="290014587">
    <w:abstractNumId w:val="30"/>
    <w:lvlOverride w:ilvl="0">
      <w:lvl w:ilvl="0" w:tplc="88BAC3F4">
        <w:start w:val="1"/>
        <w:numFmt w:val="bullet"/>
        <w:lvlText w:val="-"/>
        <w:lvlJc w:val="left"/>
        <w:pPr>
          <w:ind w:left="2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08D972">
        <w:start w:val="1"/>
        <w:numFmt w:val="bullet"/>
        <w:lvlText w:val="-"/>
        <w:lvlJc w:val="left"/>
        <w:pPr>
          <w:ind w:left="895"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B8BF42">
        <w:start w:val="1"/>
        <w:numFmt w:val="bullet"/>
        <w:lvlText w:val="-"/>
        <w:lvlJc w:val="left"/>
        <w:pPr>
          <w:tabs>
            <w:tab w:val="left" w:pos="1526"/>
          </w:tabs>
          <w:ind w:left="1276"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58D5B6">
        <w:start w:val="1"/>
        <w:numFmt w:val="bullet"/>
        <w:lvlText w:val="•"/>
        <w:lvlJc w:val="left"/>
        <w:pPr>
          <w:tabs>
            <w:tab w:val="left" w:pos="1526"/>
          </w:tabs>
          <w:ind w:left="1287"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2666BF0">
        <w:start w:val="1"/>
        <w:numFmt w:val="bullet"/>
        <w:lvlText w:val="•"/>
        <w:lvlJc w:val="left"/>
        <w:pPr>
          <w:tabs>
            <w:tab w:val="left" w:pos="1526"/>
          </w:tabs>
          <w:ind w:left="2495"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5D67A50">
        <w:start w:val="1"/>
        <w:numFmt w:val="bullet"/>
        <w:lvlText w:val="•"/>
        <w:lvlJc w:val="left"/>
        <w:pPr>
          <w:tabs>
            <w:tab w:val="left" w:pos="1526"/>
          </w:tabs>
          <w:ind w:left="3704"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5E48888">
        <w:start w:val="1"/>
        <w:numFmt w:val="bullet"/>
        <w:lvlText w:val="•"/>
        <w:lvlJc w:val="left"/>
        <w:pPr>
          <w:tabs>
            <w:tab w:val="left" w:pos="1526"/>
          </w:tabs>
          <w:ind w:left="4912"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6AACC7E4">
        <w:start w:val="1"/>
        <w:numFmt w:val="bullet"/>
        <w:lvlText w:val="•"/>
        <w:lvlJc w:val="left"/>
        <w:pPr>
          <w:tabs>
            <w:tab w:val="left" w:pos="1526"/>
          </w:tabs>
          <w:ind w:left="6121"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458BD3E">
        <w:start w:val="1"/>
        <w:numFmt w:val="bullet"/>
        <w:lvlText w:val="•"/>
        <w:lvlJc w:val="left"/>
        <w:pPr>
          <w:tabs>
            <w:tab w:val="left" w:pos="1526"/>
          </w:tabs>
          <w:ind w:left="7329" w:hanging="27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3" w16cid:durableId="1467965135">
    <w:abstractNumId w:val="25"/>
    <w:lvlOverride w:ilvl="0">
      <w:lvl w:ilvl="0" w:tplc="35186BB8">
        <w:start w:val="1"/>
        <w:numFmt w:val="upperLetter"/>
        <w:lvlText w:val="%1."/>
        <w:lvlJc w:val="left"/>
        <w:pPr>
          <w:tabs>
            <w:tab w:val="left" w:pos="1056"/>
          </w:tabs>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A636DA">
        <w:start w:val="1"/>
        <w:numFmt w:val="decimal"/>
        <w:lvlText w:val="%2."/>
        <w:lvlJc w:val="left"/>
        <w:pPr>
          <w:ind w:left="127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62D802">
        <w:start w:val="1"/>
        <w:numFmt w:val="decimal"/>
        <w:lvlText w:val="%3."/>
        <w:lvlJc w:val="left"/>
        <w:pPr>
          <w:tabs>
            <w:tab w:val="left" w:pos="1276"/>
          </w:tabs>
          <w:ind w:left="227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124272">
        <w:start w:val="1"/>
        <w:numFmt w:val="decimal"/>
        <w:lvlText w:val="%4."/>
        <w:lvlJc w:val="left"/>
        <w:pPr>
          <w:tabs>
            <w:tab w:val="left" w:pos="1276"/>
          </w:tabs>
          <w:ind w:left="326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E0B944">
        <w:start w:val="1"/>
        <w:numFmt w:val="decimal"/>
        <w:lvlText w:val="%5."/>
        <w:lvlJc w:val="left"/>
        <w:pPr>
          <w:tabs>
            <w:tab w:val="left" w:pos="1276"/>
          </w:tabs>
          <w:ind w:left="426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68DA64">
        <w:start w:val="1"/>
        <w:numFmt w:val="decimal"/>
        <w:lvlText w:val="%6."/>
        <w:lvlJc w:val="left"/>
        <w:pPr>
          <w:tabs>
            <w:tab w:val="left" w:pos="1276"/>
          </w:tabs>
          <w:ind w:left="525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B0F5F0">
        <w:start w:val="1"/>
        <w:numFmt w:val="decimal"/>
        <w:lvlText w:val="%7."/>
        <w:lvlJc w:val="left"/>
        <w:pPr>
          <w:tabs>
            <w:tab w:val="left" w:pos="1276"/>
          </w:tabs>
          <w:ind w:left="625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4EEF30">
        <w:start w:val="1"/>
        <w:numFmt w:val="decimal"/>
        <w:lvlText w:val="%8."/>
        <w:lvlJc w:val="left"/>
        <w:pPr>
          <w:tabs>
            <w:tab w:val="left" w:pos="1276"/>
          </w:tabs>
          <w:ind w:left="7246"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F25692">
        <w:start w:val="1"/>
        <w:numFmt w:val="decimal"/>
        <w:lvlText w:val="%9."/>
        <w:lvlJc w:val="left"/>
        <w:pPr>
          <w:tabs>
            <w:tab w:val="left" w:pos="1276"/>
          </w:tabs>
          <w:ind w:left="8241"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319961142">
    <w:abstractNumId w:val="29"/>
  </w:num>
  <w:num w:numId="25" w16cid:durableId="1323045796">
    <w:abstractNumId w:val="25"/>
    <w:lvlOverride w:ilvl="0">
      <w:startOverride w:val="1"/>
      <w:lvl w:ilvl="0" w:tplc="35186BB8">
        <w:start w:val="1"/>
        <w:numFmt w:val="upperLetter"/>
        <w:lvlText w:val="%1."/>
        <w:lvlJc w:val="left"/>
        <w:pPr>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ECA636DA">
        <w:start w:val="3"/>
        <w:numFmt w:val="decimal"/>
        <w:lvlText w:val="%2."/>
        <w:lvlJc w:val="left"/>
        <w:pPr>
          <w:ind w:left="127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62D802">
        <w:start w:val="1"/>
        <w:numFmt w:val="decimal"/>
        <w:lvlText w:val="%3."/>
        <w:lvlJc w:val="left"/>
        <w:pPr>
          <w:tabs>
            <w:tab w:val="left" w:pos="1276"/>
          </w:tabs>
          <w:ind w:left="218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124272">
        <w:start w:val="1"/>
        <w:numFmt w:val="decimal"/>
        <w:lvlText w:val="%4."/>
        <w:lvlJc w:val="left"/>
        <w:pPr>
          <w:tabs>
            <w:tab w:val="left" w:pos="1276"/>
          </w:tabs>
          <w:ind w:left="308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E0B944">
        <w:start w:val="1"/>
        <w:numFmt w:val="decimal"/>
        <w:lvlText w:val="%5."/>
        <w:lvlJc w:val="left"/>
        <w:pPr>
          <w:tabs>
            <w:tab w:val="left" w:pos="1276"/>
          </w:tabs>
          <w:ind w:left="3994"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68DA64">
        <w:start w:val="1"/>
        <w:numFmt w:val="decimal"/>
        <w:lvlText w:val="%6."/>
        <w:lvlJc w:val="left"/>
        <w:pPr>
          <w:tabs>
            <w:tab w:val="left" w:pos="1276"/>
          </w:tabs>
          <w:ind w:left="4900"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B0F5F0">
        <w:start w:val="1"/>
        <w:numFmt w:val="decimal"/>
        <w:lvlText w:val="%7."/>
        <w:lvlJc w:val="left"/>
        <w:pPr>
          <w:tabs>
            <w:tab w:val="left" w:pos="1276"/>
          </w:tabs>
          <w:ind w:left="5806"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4EEF30">
        <w:start w:val="1"/>
        <w:numFmt w:val="decimal"/>
        <w:lvlText w:val="%8."/>
        <w:lvlJc w:val="left"/>
        <w:pPr>
          <w:tabs>
            <w:tab w:val="left" w:pos="1276"/>
          </w:tabs>
          <w:ind w:left="6712"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F25692">
        <w:start w:val="1"/>
        <w:numFmt w:val="decimal"/>
        <w:lvlText w:val="%9."/>
        <w:lvlJc w:val="left"/>
        <w:pPr>
          <w:tabs>
            <w:tab w:val="left" w:pos="1276"/>
          </w:tabs>
          <w:ind w:left="7618"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803380445">
    <w:abstractNumId w:val="16"/>
  </w:num>
  <w:num w:numId="27" w16cid:durableId="990065811">
    <w:abstractNumId w:val="25"/>
    <w:lvlOverride w:ilvl="0">
      <w:startOverride w:val="1"/>
      <w:lvl w:ilvl="0" w:tplc="35186BB8">
        <w:start w:val="1"/>
        <w:numFmt w:val="upperLetter"/>
        <w:lvlText w:val="%1."/>
        <w:lvlJc w:val="left"/>
        <w:pPr>
          <w:ind w:left="1055"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ECA636DA">
        <w:start w:val="4"/>
        <w:numFmt w:val="decimal"/>
        <w:lvlText w:val="%2."/>
        <w:lvlJc w:val="left"/>
        <w:pPr>
          <w:ind w:left="1540"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62D802">
        <w:start w:val="1"/>
        <w:numFmt w:val="decimal"/>
        <w:lvlText w:val="%3."/>
        <w:lvlJc w:val="left"/>
        <w:pPr>
          <w:tabs>
            <w:tab w:val="left" w:pos="1540"/>
          </w:tabs>
          <w:ind w:left="2451"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D124272">
        <w:start w:val="1"/>
        <w:numFmt w:val="decimal"/>
        <w:lvlText w:val="%4."/>
        <w:lvlJc w:val="left"/>
        <w:pPr>
          <w:tabs>
            <w:tab w:val="left" w:pos="1540"/>
          </w:tabs>
          <w:ind w:left="3362"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E0B944">
        <w:start w:val="1"/>
        <w:numFmt w:val="decimal"/>
        <w:lvlText w:val="%5."/>
        <w:lvlJc w:val="left"/>
        <w:pPr>
          <w:tabs>
            <w:tab w:val="left" w:pos="1540"/>
          </w:tabs>
          <w:ind w:left="4273"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68DA64">
        <w:start w:val="1"/>
        <w:numFmt w:val="decimal"/>
        <w:lvlText w:val="%6."/>
        <w:lvlJc w:val="left"/>
        <w:pPr>
          <w:tabs>
            <w:tab w:val="left" w:pos="1540"/>
          </w:tabs>
          <w:ind w:left="5184"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B0F5F0">
        <w:start w:val="1"/>
        <w:numFmt w:val="decimal"/>
        <w:lvlText w:val="%7."/>
        <w:lvlJc w:val="left"/>
        <w:pPr>
          <w:tabs>
            <w:tab w:val="left" w:pos="1540"/>
          </w:tabs>
          <w:ind w:left="6095"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4EEF30">
        <w:start w:val="1"/>
        <w:numFmt w:val="decimal"/>
        <w:lvlText w:val="%8."/>
        <w:lvlJc w:val="left"/>
        <w:pPr>
          <w:tabs>
            <w:tab w:val="left" w:pos="1540"/>
          </w:tabs>
          <w:ind w:left="7006"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F25692">
        <w:start w:val="1"/>
        <w:numFmt w:val="decimal"/>
        <w:lvlText w:val="%9."/>
        <w:lvlJc w:val="left"/>
        <w:pPr>
          <w:tabs>
            <w:tab w:val="left" w:pos="1540"/>
          </w:tabs>
          <w:ind w:left="7917" w:hanging="6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573656851">
    <w:abstractNumId w:val="28"/>
  </w:num>
  <w:num w:numId="29" w16cid:durableId="1726105359">
    <w:abstractNumId w:val="13"/>
  </w:num>
  <w:num w:numId="30" w16cid:durableId="1859661719">
    <w:abstractNumId w:val="13"/>
    <w:lvlOverride w:ilvl="0">
      <w:startOverride w:val="3"/>
    </w:lvlOverride>
  </w:num>
  <w:num w:numId="31" w16cid:durableId="875848252">
    <w:abstractNumId w:val="13"/>
    <w:lvlOverride w:ilvl="0">
      <w:lvl w:ilvl="0" w:tplc="26166A36">
        <w:start w:val="1"/>
        <w:numFmt w:val="upperRoman"/>
        <w:lvlText w:val="%1."/>
        <w:lvlJc w:val="left"/>
        <w:pPr>
          <w:tabs>
            <w:tab w:val="num" w:pos="810"/>
          </w:tabs>
          <w:ind w:left="1276" w:hanging="10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D8B476">
        <w:start w:val="1"/>
        <w:numFmt w:val="decimal"/>
        <w:lvlText w:val="%2."/>
        <w:lvlJc w:val="left"/>
        <w:pPr>
          <w:tabs>
            <w:tab w:val="left" w:pos="1890"/>
          </w:tabs>
          <w:ind w:left="162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70CFDC">
        <w:start w:val="1"/>
        <w:numFmt w:val="decimal"/>
        <w:lvlText w:val="%3."/>
        <w:lvlJc w:val="left"/>
        <w:pPr>
          <w:tabs>
            <w:tab w:val="left" w:pos="1890"/>
          </w:tabs>
          <w:ind w:left="27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9E0428">
        <w:start w:val="1"/>
        <w:numFmt w:val="decimal"/>
        <w:lvlText w:val="%4."/>
        <w:lvlJc w:val="left"/>
        <w:pPr>
          <w:tabs>
            <w:tab w:val="left" w:pos="1890"/>
          </w:tabs>
          <w:ind w:left="396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C0DB76">
        <w:start w:val="1"/>
        <w:numFmt w:val="decimal"/>
        <w:lvlText w:val="%5."/>
        <w:lvlJc w:val="left"/>
        <w:pPr>
          <w:tabs>
            <w:tab w:val="left" w:pos="1890"/>
          </w:tabs>
          <w:ind w:left="5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461B9A">
        <w:start w:val="1"/>
        <w:numFmt w:val="decimal"/>
        <w:lvlText w:val="%6."/>
        <w:lvlJc w:val="left"/>
        <w:pPr>
          <w:tabs>
            <w:tab w:val="left" w:pos="1890"/>
          </w:tabs>
          <w:ind w:left="630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8C4334">
        <w:start w:val="1"/>
        <w:numFmt w:val="decimal"/>
        <w:lvlText w:val="%7."/>
        <w:lvlJc w:val="left"/>
        <w:pPr>
          <w:tabs>
            <w:tab w:val="left" w:pos="1890"/>
          </w:tabs>
          <w:ind w:left="74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120836">
        <w:start w:val="1"/>
        <w:numFmt w:val="decimal"/>
        <w:lvlText w:val="%8."/>
        <w:lvlJc w:val="left"/>
        <w:pPr>
          <w:tabs>
            <w:tab w:val="left" w:pos="1890"/>
          </w:tabs>
          <w:ind w:left="864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FEDE40">
        <w:start w:val="1"/>
        <w:numFmt w:val="decimal"/>
        <w:lvlText w:val="%9."/>
        <w:lvlJc w:val="left"/>
        <w:pPr>
          <w:tabs>
            <w:tab w:val="left" w:pos="1890"/>
          </w:tabs>
          <w:ind w:left="9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300383603">
    <w:abstractNumId w:val="23"/>
  </w:num>
  <w:num w:numId="33" w16cid:durableId="1124732157">
    <w:abstractNumId w:val="10"/>
  </w:num>
  <w:num w:numId="34" w16cid:durableId="234630966">
    <w:abstractNumId w:val="7"/>
  </w:num>
  <w:num w:numId="35" w16cid:durableId="954798320">
    <w:abstractNumId w:val="27"/>
  </w:num>
  <w:num w:numId="36" w16cid:durableId="726497036">
    <w:abstractNumId w:val="27"/>
    <w:lvlOverride w:ilvl="0">
      <w:lvl w:ilvl="0" w:tplc="D5EC7394">
        <w:numFmt w:val="bullet"/>
        <w:lvlText w:val="-"/>
        <w:lvlJc w:val="left"/>
        <w:pPr>
          <w:tabs>
            <w:tab w:val="left" w:pos="1800"/>
          </w:tabs>
          <w:ind w:left="127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30CA24">
        <w:numFmt w:val="bullet"/>
        <w:lvlText w:val="-"/>
        <w:lvlJc w:val="left"/>
        <w:pPr>
          <w:tabs>
            <w:tab w:val="left" w:pos="1800"/>
          </w:tabs>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CD0E4">
        <w:numFmt w:val="bullet"/>
        <w:lvlText w:val="-"/>
        <w:lvlJc w:val="left"/>
        <w:pPr>
          <w:ind w:left="18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4E7B64">
        <w:numFmt w:val="bullet"/>
        <w:lvlText w:val="-"/>
        <w:lvlJc w:val="left"/>
        <w:pPr>
          <w:tabs>
            <w:tab w:val="left" w:pos="1800"/>
          </w:tabs>
          <w:ind w:left="25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6EE8">
        <w:numFmt w:val="bullet"/>
        <w:lvlText w:val="-"/>
        <w:lvlJc w:val="left"/>
        <w:pPr>
          <w:tabs>
            <w:tab w:val="left" w:pos="1800"/>
          </w:tabs>
          <w:ind w:left="32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8A0EA">
        <w:numFmt w:val="bullet"/>
        <w:lvlText w:val="-"/>
        <w:lvlJc w:val="left"/>
        <w:pPr>
          <w:tabs>
            <w:tab w:val="left" w:pos="1800"/>
          </w:tabs>
          <w:ind w:left="39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98A168">
        <w:numFmt w:val="bullet"/>
        <w:lvlText w:val="-"/>
        <w:lvlJc w:val="left"/>
        <w:pPr>
          <w:tabs>
            <w:tab w:val="left" w:pos="1800"/>
          </w:tabs>
          <w:ind w:left="46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280E60">
        <w:numFmt w:val="bullet"/>
        <w:lvlText w:val="-"/>
        <w:lvlJc w:val="left"/>
        <w:pPr>
          <w:tabs>
            <w:tab w:val="left" w:pos="1800"/>
          </w:tabs>
          <w:ind w:left="54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109F50">
        <w:numFmt w:val="bullet"/>
        <w:lvlText w:val="-"/>
        <w:lvlJc w:val="left"/>
        <w:pPr>
          <w:tabs>
            <w:tab w:val="left" w:pos="1800"/>
          </w:tabs>
          <w:ind w:left="61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1084373978">
    <w:abstractNumId w:val="27"/>
    <w:lvlOverride w:ilvl="0">
      <w:lvl w:ilvl="0" w:tplc="D5EC7394">
        <w:numFmt w:val="bullet"/>
        <w:lvlText w:val="-"/>
        <w:lvlJc w:val="left"/>
        <w:pPr>
          <w:tabs>
            <w:tab w:val="num" w:pos="1260"/>
          </w:tabs>
          <w:ind w:left="127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30CA24">
        <w:numFmt w:val="bullet"/>
        <w:lvlText w:val="-"/>
        <w:lvlJc w:val="left"/>
        <w:pPr>
          <w:tabs>
            <w:tab w:val="num" w:pos="1064"/>
            <w:tab w:val="left" w:pos="1260"/>
          </w:tabs>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CD0E4">
        <w:numFmt w:val="bullet"/>
        <w:lvlText w:val="-"/>
        <w:lvlJc w:val="left"/>
        <w:pPr>
          <w:tabs>
            <w:tab w:val="left" w:pos="1260"/>
            <w:tab w:val="num" w:pos="1784"/>
          </w:tabs>
          <w:ind w:left="18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4E7B64">
        <w:numFmt w:val="bullet"/>
        <w:lvlText w:val="-"/>
        <w:lvlJc w:val="left"/>
        <w:pPr>
          <w:tabs>
            <w:tab w:val="left" w:pos="1260"/>
            <w:tab w:val="num" w:pos="2504"/>
          </w:tabs>
          <w:ind w:left="25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E6EE8">
        <w:numFmt w:val="bullet"/>
        <w:lvlText w:val="-"/>
        <w:lvlJc w:val="left"/>
        <w:pPr>
          <w:tabs>
            <w:tab w:val="left" w:pos="1260"/>
            <w:tab w:val="num" w:pos="3224"/>
          </w:tabs>
          <w:ind w:left="32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8A0EA">
        <w:numFmt w:val="bullet"/>
        <w:lvlText w:val="-"/>
        <w:lvlJc w:val="left"/>
        <w:pPr>
          <w:tabs>
            <w:tab w:val="left" w:pos="1260"/>
            <w:tab w:val="num" w:pos="3944"/>
          </w:tabs>
          <w:ind w:left="39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98A168">
        <w:numFmt w:val="bullet"/>
        <w:lvlText w:val="-"/>
        <w:lvlJc w:val="left"/>
        <w:pPr>
          <w:tabs>
            <w:tab w:val="left" w:pos="1260"/>
            <w:tab w:val="num" w:pos="4664"/>
          </w:tabs>
          <w:ind w:left="46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280E60">
        <w:numFmt w:val="bullet"/>
        <w:lvlText w:val="-"/>
        <w:lvlJc w:val="left"/>
        <w:pPr>
          <w:tabs>
            <w:tab w:val="left" w:pos="1260"/>
            <w:tab w:val="num" w:pos="5384"/>
          </w:tabs>
          <w:ind w:left="540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109F50">
        <w:numFmt w:val="bullet"/>
        <w:lvlText w:val="-"/>
        <w:lvlJc w:val="left"/>
        <w:pPr>
          <w:tabs>
            <w:tab w:val="left" w:pos="1260"/>
            <w:tab w:val="num" w:pos="6104"/>
          </w:tabs>
          <w:ind w:left="61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366178009">
    <w:abstractNumId w:val="0"/>
  </w:num>
  <w:num w:numId="39" w16cid:durableId="1001273471">
    <w:abstractNumId w:val="18"/>
    <w:lvlOverride w:ilvl="0">
      <w:startOverride w:val="1"/>
      <w:lvl w:ilvl="0" w:tplc="878680D6">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25D478A6">
        <w:start w:val="3"/>
        <w:numFmt w:val="upperLetter"/>
        <w:lvlText w:val="%2."/>
        <w:lvlJc w:val="left"/>
        <w:pPr>
          <w:tabs>
            <w:tab w:val="left" w:pos="868"/>
            <w:tab w:val="num" w:pos="1440"/>
          </w:tabs>
          <w:ind w:left="868" w:firstLine="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88A0F0">
        <w:numFmt w:val="decimal"/>
        <w:lvlText w:val="%3."/>
        <w:lvlJc w:val="left"/>
        <w:pPr>
          <w:tabs>
            <w:tab w:val="num" w:pos="1710"/>
          </w:tabs>
          <w:ind w:left="1980" w:hanging="450"/>
        </w:pPr>
        <w:rPr>
          <w:rFonts w:ascii="Arial" w:hAnsi="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89E6D206">
        <w:start w:val="1"/>
        <w:numFmt w:val="decimal"/>
        <w:lvlText w:val="%4."/>
        <w:lvlJc w:val="left"/>
        <w:pPr>
          <w:tabs>
            <w:tab w:val="left" w:pos="1710"/>
            <w:tab w:val="num" w:pos="2475"/>
          </w:tabs>
          <w:ind w:left="274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D530502E">
        <w:start w:val="1"/>
        <w:numFmt w:val="decimal"/>
        <w:lvlText w:val="%5."/>
        <w:lvlJc w:val="left"/>
        <w:pPr>
          <w:tabs>
            <w:tab w:val="left" w:pos="1710"/>
            <w:tab w:val="num" w:pos="3240"/>
          </w:tabs>
          <w:ind w:left="351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4448FBEC">
        <w:start w:val="1"/>
        <w:numFmt w:val="decimal"/>
        <w:lvlText w:val="%6."/>
        <w:lvlJc w:val="left"/>
        <w:pPr>
          <w:tabs>
            <w:tab w:val="left" w:pos="1710"/>
            <w:tab w:val="num" w:pos="4005"/>
          </w:tabs>
          <w:ind w:left="427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10028846">
        <w:start w:val="1"/>
        <w:numFmt w:val="decimal"/>
        <w:lvlText w:val="%7."/>
        <w:lvlJc w:val="left"/>
        <w:pPr>
          <w:tabs>
            <w:tab w:val="left" w:pos="1710"/>
            <w:tab w:val="num" w:pos="4770"/>
          </w:tabs>
          <w:ind w:left="504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90D4B998">
        <w:start w:val="1"/>
        <w:numFmt w:val="decimal"/>
        <w:lvlText w:val="%8."/>
        <w:lvlJc w:val="left"/>
        <w:pPr>
          <w:tabs>
            <w:tab w:val="left" w:pos="1710"/>
            <w:tab w:val="num" w:pos="5535"/>
          </w:tabs>
          <w:ind w:left="5805"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B1940CF4">
        <w:start w:val="1"/>
        <w:numFmt w:val="decimal"/>
        <w:lvlText w:val="%9."/>
        <w:lvlJc w:val="left"/>
        <w:pPr>
          <w:tabs>
            <w:tab w:val="left" w:pos="1710"/>
            <w:tab w:val="num" w:pos="6300"/>
          </w:tabs>
          <w:ind w:left="6570" w:hanging="45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0" w16cid:durableId="1685355784">
    <w:abstractNumId w:val="17"/>
  </w:num>
  <w:num w:numId="41" w16cid:durableId="1609115233">
    <w:abstractNumId w:val="18"/>
    <w:lvlOverride w:ilvl="0">
      <w:startOverride w:val="1"/>
      <w:lvl w:ilvl="0" w:tplc="878680D6">
        <w:start w:val="1"/>
        <w:numFmt w:val="upperRoman"/>
        <w:lvlText w:val="%1."/>
        <w:lvlJc w:val="left"/>
        <w:pPr>
          <w:ind w:left="5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25D478A6">
        <w:start w:val="6"/>
        <w:numFmt w:val="upperLetter"/>
        <w:lvlText w:val="%2."/>
        <w:lvlJc w:val="left"/>
        <w:pPr>
          <w:tabs>
            <w:tab w:val="left" w:pos="1257"/>
          </w:tabs>
          <w:ind w:left="125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88A0F0">
        <w:numFmt w:val="decimal"/>
        <w:lvlText w:val="%3."/>
        <w:lvlJc w:val="left"/>
        <w:pPr>
          <w:ind w:left="1636" w:hanging="360"/>
        </w:pPr>
        <w:rPr>
          <w:rFonts w:ascii="Arial" w:hAnsi="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89E6D206">
        <w:start w:val="1"/>
        <w:numFmt w:val="decimal"/>
        <w:lvlText w:val="%4."/>
        <w:lvlJc w:val="left"/>
        <w:pPr>
          <w:ind w:left="2274"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D530502E">
        <w:start w:val="1"/>
        <w:numFmt w:val="decimal"/>
        <w:lvlText w:val="%5."/>
        <w:lvlJc w:val="left"/>
        <w:pPr>
          <w:ind w:left="2912"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4448FBEC">
        <w:start w:val="1"/>
        <w:numFmt w:val="decimal"/>
        <w:lvlText w:val="%6."/>
        <w:lvlJc w:val="left"/>
        <w:pPr>
          <w:ind w:left="355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10028846">
        <w:start w:val="1"/>
        <w:numFmt w:val="decimal"/>
        <w:lvlText w:val="%7."/>
        <w:lvlJc w:val="left"/>
        <w:pPr>
          <w:ind w:left="4188"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90D4B998">
        <w:start w:val="1"/>
        <w:numFmt w:val="decimal"/>
        <w:lvlText w:val="%8."/>
        <w:lvlJc w:val="left"/>
        <w:pPr>
          <w:ind w:left="482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B1940CF4">
        <w:start w:val="1"/>
        <w:numFmt w:val="decimal"/>
        <w:lvlText w:val="%9."/>
        <w:lvlJc w:val="left"/>
        <w:pPr>
          <w:ind w:left="5464"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2" w16cid:durableId="1244950555">
    <w:abstractNumId w:val="12"/>
  </w:num>
  <w:num w:numId="43" w16cid:durableId="337733651">
    <w:abstractNumId w:val="31"/>
  </w:num>
  <w:num w:numId="44" w16cid:durableId="1320886527">
    <w:abstractNumId w:val="5"/>
  </w:num>
  <w:num w:numId="45" w16cid:durableId="1299189620">
    <w:abstractNumId w:val="31"/>
    <w:lvlOverride w:ilvl="0">
      <w:startOverride w:val="2"/>
    </w:lvlOverride>
  </w:num>
  <w:num w:numId="46" w16cid:durableId="908808072">
    <w:abstractNumId w:val="11"/>
  </w:num>
  <w:num w:numId="47" w16cid:durableId="1380207230">
    <w:abstractNumId w:val="31"/>
    <w:lvlOverride w:ilvl="0">
      <w:startOverride w:val="3"/>
      <w:lvl w:ilvl="0" w:tplc="580671EA">
        <w:start w:val="3"/>
        <w:numFmt w:val="upperLetter"/>
        <w:lvlText w:val="%1."/>
        <w:lvlJc w:val="left"/>
        <w:pPr>
          <w:tabs>
            <w:tab w:val="left" w:pos="1452"/>
          </w:tabs>
          <w:ind w:left="915" w:hanging="36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B85078DA">
        <w:start w:val="1"/>
        <w:numFmt w:val="lowerLetter"/>
        <w:lvlText w:val="%2."/>
        <w:lvlJc w:val="left"/>
        <w:pPr>
          <w:ind w:left="145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5169CBC">
        <w:start w:val="1"/>
        <w:numFmt w:val="lowerLetter"/>
        <w:lvlText w:val="%3."/>
        <w:lvlJc w:val="left"/>
        <w:pPr>
          <w:tabs>
            <w:tab w:val="left" w:pos="1452"/>
          </w:tabs>
          <w:ind w:left="267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59EA678">
        <w:start w:val="1"/>
        <w:numFmt w:val="lowerLetter"/>
        <w:lvlText w:val="%4."/>
        <w:lvlJc w:val="left"/>
        <w:pPr>
          <w:tabs>
            <w:tab w:val="left" w:pos="1452"/>
          </w:tabs>
          <w:ind w:left="390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D4E2783C">
        <w:start w:val="1"/>
        <w:numFmt w:val="lowerLetter"/>
        <w:lvlText w:val="%5."/>
        <w:lvlJc w:val="left"/>
        <w:pPr>
          <w:tabs>
            <w:tab w:val="left" w:pos="1452"/>
          </w:tabs>
          <w:ind w:left="512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0192A1DC">
        <w:start w:val="1"/>
        <w:numFmt w:val="lowerLetter"/>
        <w:lvlText w:val="%6."/>
        <w:lvlJc w:val="left"/>
        <w:pPr>
          <w:tabs>
            <w:tab w:val="left" w:pos="1452"/>
          </w:tabs>
          <w:ind w:left="635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0AA6F6B4">
        <w:start w:val="1"/>
        <w:numFmt w:val="lowerLetter"/>
        <w:lvlText w:val="%7."/>
        <w:lvlJc w:val="left"/>
        <w:pPr>
          <w:tabs>
            <w:tab w:val="left" w:pos="1452"/>
          </w:tabs>
          <w:ind w:left="757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DFD8F19A">
        <w:start w:val="1"/>
        <w:numFmt w:val="lowerLetter"/>
        <w:lvlText w:val="%8."/>
        <w:lvlJc w:val="left"/>
        <w:pPr>
          <w:tabs>
            <w:tab w:val="left" w:pos="1452"/>
          </w:tabs>
          <w:ind w:left="8802"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237EF706">
        <w:start w:val="1"/>
        <w:numFmt w:val="lowerLetter"/>
        <w:lvlText w:val="%9."/>
        <w:lvlJc w:val="left"/>
        <w:pPr>
          <w:tabs>
            <w:tab w:val="left" w:pos="1452"/>
          </w:tabs>
          <w:ind w:left="10027" w:hanging="227"/>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8033"/>
    <w:rsid w:val="006065C3"/>
    <w:rsid w:val="00C08033"/>
    <w:rsid w:val="00CA690D"/>
    <w:rsid w:val="00D760E5"/>
    <w:rsid w:val="0130FBFE"/>
    <w:rsid w:val="01D6B71F"/>
    <w:rsid w:val="01F231C9"/>
    <w:rsid w:val="02DE7BAA"/>
    <w:rsid w:val="0645188A"/>
    <w:rsid w:val="07428E70"/>
    <w:rsid w:val="083816D0"/>
    <w:rsid w:val="087AD818"/>
    <w:rsid w:val="093C0DE3"/>
    <w:rsid w:val="0C67065A"/>
    <w:rsid w:val="0D4E493B"/>
    <w:rsid w:val="0F92270A"/>
    <w:rsid w:val="0FA361E1"/>
    <w:rsid w:val="10900D2A"/>
    <w:rsid w:val="113F3242"/>
    <w:rsid w:val="147EC08A"/>
    <w:rsid w:val="14F5B7C1"/>
    <w:rsid w:val="15595B20"/>
    <w:rsid w:val="158909CE"/>
    <w:rsid w:val="161A90EB"/>
    <w:rsid w:val="16A61C4D"/>
    <w:rsid w:val="1A292B46"/>
    <w:rsid w:val="1E4050B3"/>
    <w:rsid w:val="1EA28E54"/>
    <w:rsid w:val="1F8C2382"/>
    <w:rsid w:val="1FCD0272"/>
    <w:rsid w:val="209C0DC7"/>
    <w:rsid w:val="21FD0A66"/>
    <w:rsid w:val="22FDB1C1"/>
    <w:rsid w:val="238D943D"/>
    <w:rsid w:val="24C454E6"/>
    <w:rsid w:val="27CD4FBD"/>
    <w:rsid w:val="284B69D3"/>
    <w:rsid w:val="29EBF04B"/>
    <w:rsid w:val="2B830A95"/>
    <w:rsid w:val="2BC4374B"/>
    <w:rsid w:val="2BDA05A9"/>
    <w:rsid w:val="2D37FD92"/>
    <w:rsid w:val="2E25D0FE"/>
    <w:rsid w:val="2F27B6C4"/>
    <w:rsid w:val="30359829"/>
    <w:rsid w:val="3097A86E"/>
    <w:rsid w:val="30A0F6BA"/>
    <w:rsid w:val="30AD76CC"/>
    <w:rsid w:val="31DD09A0"/>
    <w:rsid w:val="31F24C19"/>
    <w:rsid w:val="33E5178E"/>
    <w:rsid w:val="36D5647C"/>
    <w:rsid w:val="3710383E"/>
    <w:rsid w:val="371CB850"/>
    <w:rsid w:val="3761ED9C"/>
    <w:rsid w:val="376A0C04"/>
    <w:rsid w:val="37C139E9"/>
    <w:rsid w:val="3C5C5C68"/>
    <w:rsid w:val="3CA53297"/>
    <w:rsid w:val="3F4ED854"/>
    <w:rsid w:val="407C46C2"/>
    <w:rsid w:val="40CAFB3C"/>
    <w:rsid w:val="42518A1F"/>
    <w:rsid w:val="43ED5A80"/>
    <w:rsid w:val="47265C08"/>
    <w:rsid w:val="47B67B9C"/>
    <w:rsid w:val="484981F9"/>
    <w:rsid w:val="48A924F4"/>
    <w:rsid w:val="49524BFD"/>
    <w:rsid w:val="4CD467C1"/>
    <w:rsid w:val="4CDE8AEE"/>
    <w:rsid w:val="4E7CB834"/>
    <w:rsid w:val="5117B122"/>
    <w:rsid w:val="51443585"/>
    <w:rsid w:val="51BC467C"/>
    <w:rsid w:val="535816DD"/>
    <w:rsid w:val="5391C173"/>
    <w:rsid w:val="55A0AF71"/>
    <w:rsid w:val="568FB79F"/>
    <w:rsid w:val="573C7FD2"/>
    <w:rsid w:val="588C419A"/>
    <w:rsid w:val="58D85033"/>
    <w:rsid w:val="5A085E3C"/>
    <w:rsid w:val="5A81FEA8"/>
    <w:rsid w:val="5AF10C18"/>
    <w:rsid w:val="5B4A0065"/>
    <w:rsid w:val="5C2955C0"/>
    <w:rsid w:val="5CEA8B8B"/>
    <w:rsid w:val="5CFEF923"/>
    <w:rsid w:val="5D789F81"/>
    <w:rsid w:val="5DC52621"/>
    <w:rsid w:val="5E325FCD"/>
    <w:rsid w:val="6020CB87"/>
    <w:rsid w:val="603699E5"/>
    <w:rsid w:val="60FCC6E3"/>
    <w:rsid w:val="61BDFCAE"/>
    <w:rsid w:val="6265F2BB"/>
    <w:rsid w:val="6296E07C"/>
    <w:rsid w:val="643467A5"/>
    <w:rsid w:val="643E8AD2"/>
    <w:rsid w:val="64F59D70"/>
    <w:rsid w:val="668CB30C"/>
    <w:rsid w:val="66995B57"/>
    <w:rsid w:val="66A5DB69"/>
    <w:rsid w:val="67CC1E7D"/>
    <w:rsid w:val="68FD0D2E"/>
    <w:rsid w:val="69C90E93"/>
    <w:rsid w:val="6B64DEF4"/>
    <w:rsid w:val="6BA54864"/>
    <w:rsid w:val="6D089CDB"/>
    <w:rsid w:val="6DA07629"/>
    <w:rsid w:val="6DDB49EB"/>
    <w:rsid w:val="71275845"/>
    <w:rsid w:val="71FD6F8C"/>
    <w:rsid w:val="7322DCE0"/>
    <w:rsid w:val="736FF0D9"/>
    <w:rsid w:val="74EA2315"/>
    <w:rsid w:val="750BC13A"/>
    <w:rsid w:val="77822C31"/>
    <w:rsid w:val="7C559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E0436"/>
  <w15:docId w15:val="{78ED27C2-EF5A-4437-AD38-B0CBCF52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4"/>
      <w:szCs w:val="24"/>
      <w:u w:color="000000"/>
    </w:rPr>
  </w:style>
  <w:style w:type="paragraph" w:styleId="Footer">
    <w:name w:val="footer"/>
    <w:pPr>
      <w:widowControl w:val="0"/>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tabs>
        <w:tab w:val="left" w:pos="1636"/>
      </w:tabs>
      <w:spacing w:after="120"/>
      <w:jc w:val="both"/>
    </w:pPr>
    <w:rPr>
      <w:rFonts w:ascii="Arial" w:hAnsi="Arial" w:cs="Arial Unicode MS"/>
      <w:color w:val="000000"/>
      <w:sz w:val="22"/>
      <w:szCs w:val="22"/>
      <w:u w:color="000000"/>
    </w:rPr>
  </w:style>
  <w:style w:type="numbering" w:customStyle="1" w:styleId="ImportedStyle1">
    <w:name w:val="Imported Style 1"/>
    <w:pPr>
      <w:numPr>
        <w:numId w:val="14"/>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55FC1"/>
      <w:u w:val="single" w:color="055FC1"/>
    </w:rPr>
  </w:style>
  <w:style w:type="character" w:customStyle="1" w:styleId="None">
    <w:name w:val="None"/>
  </w:style>
  <w:style w:type="character" w:customStyle="1" w:styleId="Hyperlink1">
    <w:name w:val="Hyperlink.1"/>
    <w:basedOn w:val="None"/>
    <w:rPr>
      <w:rFonts w:ascii="Arial" w:eastAsia="Arial" w:hAnsi="Arial" w:cs="Arial"/>
      <w:i/>
      <w:iCs/>
      <w:outline w:val="0"/>
      <w:color w:val="055FC1"/>
      <w:u w:val="single" w:color="055FC1"/>
    </w:rPr>
  </w:style>
  <w:style w:type="character" w:customStyle="1" w:styleId="Hyperlink2">
    <w:name w:val="Hyperlink.2"/>
    <w:basedOn w:val="Link"/>
    <w:rPr>
      <w:rFonts w:ascii="Arial" w:eastAsia="Arial" w:hAnsi="Arial" w:cs="Arial"/>
      <w:outline w:val="0"/>
      <w:color w:val="055FC1"/>
      <w:u w:val="single" w:color="055FC1"/>
    </w:rPr>
  </w:style>
  <w:style w:type="numbering" w:customStyle="1" w:styleId="ImportedStyle2">
    <w:name w:val="Imported Style 2"/>
    <w:pPr>
      <w:numPr>
        <w:numId w:val="16"/>
      </w:numPr>
    </w:pPr>
  </w:style>
  <w:style w:type="numbering" w:customStyle="1" w:styleId="ImportedStyle3">
    <w:name w:val="Imported Style 3"/>
    <w:pPr>
      <w:numPr>
        <w:numId w:val="17"/>
      </w:numPr>
    </w:pPr>
  </w:style>
  <w:style w:type="numbering" w:customStyle="1" w:styleId="ImportedStyle4">
    <w:name w:val="Imported Style 4"/>
    <w:pPr>
      <w:numPr>
        <w:numId w:val="18"/>
      </w:numPr>
    </w:pPr>
  </w:style>
  <w:style w:type="numbering" w:customStyle="1" w:styleId="ImportedStyle40">
    <w:name w:val="Imported Style 4.0"/>
    <w:pPr>
      <w:numPr>
        <w:numId w:val="20"/>
      </w:numPr>
    </w:pPr>
  </w:style>
  <w:style w:type="character" w:customStyle="1" w:styleId="Hyperlink3">
    <w:name w:val="Hyperlink.3"/>
    <w:basedOn w:val="Link"/>
    <w:rPr>
      <w:rFonts w:ascii="Arial" w:eastAsia="Arial" w:hAnsi="Arial" w:cs="Arial"/>
      <w:outline w:val="0"/>
      <w:color w:val="055FC1"/>
      <w:sz w:val="22"/>
      <w:szCs w:val="22"/>
      <w:u w:val="single" w:color="055FC1"/>
      <w:shd w:val="clear" w:color="auto" w:fill="FFFFFF"/>
    </w:rPr>
  </w:style>
  <w:style w:type="character" w:customStyle="1" w:styleId="Hyperlink4">
    <w:name w:val="Hyperlink.4"/>
    <w:basedOn w:val="Link"/>
    <w:rPr>
      <w:rFonts w:ascii="Arial" w:eastAsia="Arial" w:hAnsi="Arial" w:cs="Arial"/>
      <w:outline w:val="0"/>
      <w:color w:val="055FC1"/>
      <w:sz w:val="22"/>
      <w:szCs w:val="22"/>
      <w:u w:val="single" w:color="055FC1"/>
    </w:rPr>
  </w:style>
  <w:style w:type="numbering" w:customStyle="1" w:styleId="ImportedStyle5">
    <w:name w:val="Imported Style 5"/>
    <w:pPr>
      <w:numPr>
        <w:numId w:val="24"/>
      </w:numPr>
    </w:p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26"/>
      </w:numPr>
    </w:pPr>
  </w:style>
  <w:style w:type="numbering" w:customStyle="1" w:styleId="ImportedStyle7">
    <w:name w:val="Imported Style 7"/>
    <w:pPr>
      <w:numPr>
        <w:numId w:val="28"/>
      </w:numPr>
    </w:pPr>
  </w:style>
  <w:style w:type="numbering" w:customStyle="1" w:styleId="ImportedStyle8">
    <w:name w:val="Imported Style 8"/>
    <w:pPr>
      <w:numPr>
        <w:numId w:val="32"/>
      </w:numPr>
    </w:pPr>
  </w:style>
  <w:style w:type="numbering" w:customStyle="1" w:styleId="ImportedStyle9">
    <w:name w:val="Imported Style 9"/>
    <w:pPr>
      <w:numPr>
        <w:numId w:val="33"/>
      </w:numPr>
    </w:pPr>
  </w:style>
  <w:style w:type="numbering" w:customStyle="1" w:styleId="ImportedStyle10">
    <w:name w:val="Imported Style 10"/>
    <w:pPr>
      <w:numPr>
        <w:numId w:val="34"/>
      </w:numPr>
    </w:pPr>
  </w:style>
  <w:style w:type="numbering" w:customStyle="1" w:styleId="ImportedStyle11">
    <w:name w:val="Imported Style 11"/>
    <w:pPr>
      <w:numPr>
        <w:numId w:val="38"/>
      </w:numPr>
    </w:pPr>
  </w:style>
  <w:style w:type="numbering" w:customStyle="1" w:styleId="ImportedStyle12">
    <w:name w:val="Imported Style 12"/>
    <w:pPr>
      <w:numPr>
        <w:numId w:val="40"/>
      </w:numPr>
    </w:pPr>
  </w:style>
  <w:style w:type="character" w:customStyle="1" w:styleId="Hyperlink5">
    <w:name w:val="Hyperlink.5"/>
    <w:basedOn w:val="None"/>
    <w:rPr>
      <w:outline w:val="0"/>
      <w:color w:val="055FC1"/>
      <w:sz w:val="22"/>
      <w:szCs w:val="22"/>
      <w:u w:val="single" w:color="055FC1"/>
    </w:rPr>
  </w:style>
  <w:style w:type="numbering" w:customStyle="1" w:styleId="ImportedStyle13">
    <w:name w:val="Imported Style 13"/>
    <w:pPr>
      <w:numPr>
        <w:numId w:val="42"/>
      </w:numPr>
    </w:pPr>
  </w:style>
  <w:style w:type="numbering" w:customStyle="1" w:styleId="ImportedStyle14">
    <w:name w:val="Imported Style 14"/>
    <w:pPr>
      <w:numPr>
        <w:numId w:val="44"/>
      </w:numPr>
    </w:pPr>
  </w:style>
  <w:style w:type="numbering" w:customStyle="1" w:styleId="ImportedStyle15">
    <w:name w:val="Imported Style 15"/>
    <w:pPr>
      <w:numPr>
        <w:numId w:val="46"/>
      </w:numPr>
    </w:pPr>
  </w:style>
  <w:style w:type="paragraph" w:customStyle="1" w:styleId="TableParagraph">
    <w:name w:val="Table Paragraph"/>
    <w:pPr>
      <w:widowControl w:val="0"/>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psu.edu/policies/ac23" TargetMode="External"/><Relationship Id="rId13" Type="http://schemas.openxmlformats.org/officeDocument/2006/relationships/hyperlink" Target="https://hhd.psu.edu/guidelin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www.vpfa.psu.edu/promotion-and-tenu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pfa.psu.edu/promotion-and-tenur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policy.psu.edu/policies/ac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olicy.psu.edu/policies/ac23" TargetMode="External"/><Relationship Id="rId14" Type="http://schemas.openxmlformats.org/officeDocument/2006/relationships/hyperlink" Target="https://vpfa.psu.edu/promotion-and-ten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5622</Words>
  <Characters>32047</Characters>
  <Application>Microsoft Office Word</Application>
  <DocSecurity>0</DocSecurity>
  <Lines>267</Lines>
  <Paragraphs>75</Paragraphs>
  <ScaleCrop>false</ScaleCrop>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Sheaffer, Scott A</cp:lastModifiedBy>
  <cp:revision>2</cp:revision>
  <dcterms:created xsi:type="dcterms:W3CDTF">2022-12-14T21:42:00Z</dcterms:created>
  <dcterms:modified xsi:type="dcterms:W3CDTF">2022-12-15T12:59:00Z</dcterms:modified>
</cp:coreProperties>
</file>